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F1226C">
      <w:pPr>
        <w:jc w:val="center"/>
        <w:rPr>
          <w:sz w:val="120"/>
          <w:szCs w:val="120"/>
        </w:rPr>
      </w:pPr>
      <w:r>
        <w:rPr>
          <w:noProof/>
          <w:lang w:val="en-US" w:eastAsia="en-US" w:bidi="gu-IN"/>
        </w:rPr>
        <w:drawing>
          <wp:anchor distT="0" distB="0" distL="0" distR="0" simplePos="0" relativeHeight="251641856" behindDoc="0" locked="0" layoutInCell="1" allowOverlap="1">
            <wp:simplePos x="0" y="0"/>
            <wp:positionH relativeFrom="column">
              <wp:posOffset>2107565</wp:posOffset>
            </wp:positionH>
            <wp:positionV relativeFrom="paragraph">
              <wp:posOffset>1062355</wp:posOffset>
            </wp:positionV>
            <wp:extent cx="2111375" cy="1397000"/>
            <wp:effectExtent l="19050" t="0" r="317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111375" cy="1397000"/>
                    </a:xfrm>
                    <a:prstGeom prst="rect">
                      <a:avLst/>
                    </a:prstGeom>
                    <a:solidFill>
                      <a:srgbClr val="FFFFFF"/>
                    </a:solidFill>
                    <a:ln w="9525">
                      <a:noFill/>
                      <a:miter lim="800000"/>
                      <a:headEnd/>
                      <a:tailEnd/>
                    </a:ln>
                  </pic:spPr>
                </pic:pic>
              </a:graphicData>
            </a:graphic>
          </wp:anchor>
        </w:drawing>
      </w:r>
    </w:p>
    <w:p w:rsidR="00000000" w:rsidRDefault="003E4221">
      <w:pPr>
        <w:jc w:val="center"/>
      </w:pPr>
      <w:r>
        <w:rPr>
          <w:sz w:val="56"/>
          <w:szCs w:val="56"/>
        </w:rPr>
        <w:t>PROJECT CONCEPT NOTE</w:t>
      </w:r>
    </w:p>
    <w:p w:rsidR="00000000" w:rsidRDefault="003E4221">
      <w:pPr>
        <w:shd w:val="clear" w:color="auto" w:fill="DDDDDD"/>
        <w:jc w:val="center"/>
      </w:pPr>
      <w:r>
        <w:t>CARBON OFFSET UNIT (CoU) PROJECT</w:t>
      </w:r>
    </w:p>
    <w:p w:rsidR="00000000" w:rsidRDefault="00F1226C">
      <w:pPr>
        <w:jc w:val="center"/>
      </w:pPr>
      <w:r>
        <w:rPr>
          <w:noProof/>
          <w:lang w:val="en-US" w:eastAsia="en-US" w:bidi="gu-IN"/>
        </w:rPr>
        <w:drawing>
          <wp:anchor distT="0" distB="0" distL="114935" distR="114935" simplePos="0" relativeHeight="251646976" behindDoc="0" locked="0" layoutInCell="1" allowOverlap="1">
            <wp:simplePos x="0" y="0"/>
            <wp:positionH relativeFrom="column">
              <wp:posOffset>154305</wp:posOffset>
            </wp:positionH>
            <wp:positionV relativeFrom="paragraph">
              <wp:posOffset>161925</wp:posOffset>
            </wp:positionV>
            <wp:extent cx="2943225" cy="2094865"/>
            <wp:effectExtent l="1905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2943225" cy="2094865"/>
                    </a:xfrm>
                    <a:prstGeom prst="rect">
                      <a:avLst/>
                    </a:prstGeom>
                    <a:solidFill>
                      <a:srgbClr val="FFFFFF"/>
                    </a:solidFill>
                    <a:ln w="9525">
                      <a:noFill/>
                      <a:miter lim="800000"/>
                      <a:headEnd/>
                      <a:tailEnd/>
                    </a:ln>
                  </pic:spPr>
                </pic:pic>
              </a:graphicData>
            </a:graphic>
          </wp:anchor>
        </w:drawing>
      </w:r>
      <w:r>
        <w:rPr>
          <w:noProof/>
          <w:lang w:val="en-US" w:eastAsia="en-US" w:bidi="gu-IN"/>
        </w:rPr>
        <w:drawing>
          <wp:anchor distT="0" distB="0" distL="0" distR="0" simplePos="0" relativeHeight="251649024" behindDoc="0" locked="0" layoutInCell="1" allowOverlap="1">
            <wp:simplePos x="0" y="0"/>
            <wp:positionH relativeFrom="column">
              <wp:posOffset>3100705</wp:posOffset>
            </wp:positionH>
            <wp:positionV relativeFrom="paragraph">
              <wp:posOffset>161925</wp:posOffset>
            </wp:positionV>
            <wp:extent cx="2925445" cy="2075815"/>
            <wp:effectExtent l="19050" t="0" r="825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srcRect b="9987"/>
                    <a:stretch>
                      <a:fillRect/>
                    </a:stretch>
                  </pic:blipFill>
                  <pic:spPr bwMode="auto">
                    <a:xfrm>
                      <a:off x="0" y="0"/>
                      <a:ext cx="2925445" cy="2075815"/>
                    </a:xfrm>
                    <a:prstGeom prst="rect">
                      <a:avLst/>
                    </a:prstGeom>
                    <a:solidFill>
                      <a:srgbClr val="FFFFFF"/>
                    </a:solidFill>
                    <a:ln w="9525">
                      <a:noFill/>
                      <a:miter lim="800000"/>
                      <a:headEnd/>
                      <a:tailEnd/>
                    </a:ln>
                  </pic:spPr>
                </pic:pic>
              </a:graphicData>
            </a:graphic>
          </wp:anchor>
        </w:drawing>
      </w:r>
    </w:p>
    <w:p w:rsidR="00000000" w:rsidRDefault="003E4221">
      <w:pPr>
        <w:jc w:val="center"/>
      </w:pPr>
    </w:p>
    <w:p w:rsidR="00000000" w:rsidRDefault="003E4221">
      <w:pPr>
        <w:shd w:val="clear" w:color="auto" w:fill="DDDDDD"/>
        <w:jc w:val="center"/>
      </w:pPr>
      <w:r>
        <w:rPr>
          <w:b/>
          <w:bCs/>
        </w:rPr>
        <w:t>Title:</w:t>
      </w:r>
      <w:r>
        <w:t xml:space="preserve"> </w:t>
      </w:r>
      <w:r>
        <w:rPr>
          <w:b/>
          <w:bCs/>
        </w:rPr>
        <w:t xml:space="preserve"> </w:t>
      </w:r>
      <w:r>
        <w:rPr>
          <w:b/>
          <w:bCs/>
          <w:u w:val="single"/>
        </w:rPr>
        <w:t>Lamdeng Waste to Energy Project, Manipur</w:t>
      </w:r>
    </w:p>
    <w:p w:rsidR="00000000" w:rsidRDefault="003E4221">
      <w:pPr>
        <w:jc w:val="center"/>
      </w:pPr>
      <w:r>
        <w:t>Version 1.0</w:t>
      </w:r>
    </w:p>
    <w:p w:rsidR="00000000" w:rsidRDefault="003E4221">
      <w:pPr>
        <w:jc w:val="center"/>
      </w:pPr>
      <w:r>
        <w:t xml:space="preserve"> </w:t>
      </w:r>
      <w:r>
        <w:t>Date 23/10/2021</w:t>
      </w:r>
    </w:p>
    <w:p w:rsidR="00000000" w:rsidRDefault="003E4221">
      <w:pPr>
        <w:jc w:val="center"/>
      </w:pPr>
      <w:r>
        <w:t xml:space="preserve">First Issuance Period: 5 years, 10 months  </w:t>
      </w:r>
    </w:p>
    <w:p w:rsidR="00000000" w:rsidRDefault="003E4221">
      <w:pPr>
        <w:jc w:val="center"/>
        <w:rPr>
          <w:b/>
          <w:bCs/>
        </w:rPr>
      </w:pPr>
      <w:r>
        <w:t>Crediting Period: 01/01/2016 to 31/10/2021</w:t>
      </w:r>
    </w:p>
    <w:p w:rsidR="00000000" w:rsidRDefault="003E4221">
      <w:pPr>
        <w:pageBreakBefore/>
        <w:rPr>
          <w:b/>
          <w:bCs/>
        </w:rPr>
      </w:pPr>
    </w:p>
    <w:p w:rsidR="00000000" w:rsidRDefault="003E4221">
      <w:pPr>
        <w:rPr>
          <w:b/>
          <w:bCs/>
        </w:rPr>
      </w:pPr>
    </w:p>
    <w:p w:rsidR="00000000" w:rsidRDefault="00F1226C">
      <w:pPr>
        <w:rPr>
          <w:b/>
          <w:bCs/>
        </w:rPr>
      </w:pPr>
      <w:r>
        <w:rPr>
          <w:noProof/>
          <w:lang w:val="en-US" w:eastAsia="en-US" w:bidi="gu-IN"/>
        </w:rPr>
        <w:drawing>
          <wp:anchor distT="0" distB="0" distL="0" distR="0" simplePos="0" relativeHeight="251645952" behindDoc="0" locked="0" layoutInCell="1" allowOverlap="1">
            <wp:simplePos x="0" y="0"/>
            <wp:positionH relativeFrom="column">
              <wp:posOffset>641350</wp:posOffset>
            </wp:positionH>
            <wp:positionV relativeFrom="paragraph">
              <wp:posOffset>221615</wp:posOffset>
            </wp:positionV>
            <wp:extent cx="1282065" cy="815975"/>
            <wp:effectExtent l="1905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1282065" cy="815975"/>
                    </a:xfrm>
                    <a:prstGeom prst="rect">
                      <a:avLst/>
                    </a:prstGeom>
                    <a:solidFill>
                      <a:srgbClr val="FFFFFF"/>
                    </a:solidFill>
                    <a:ln w="9525">
                      <a:noFill/>
                      <a:miter lim="800000"/>
                      <a:headEnd/>
                      <a:tailEnd/>
                    </a:ln>
                  </pic:spPr>
                </pic:pic>
              </a:graphicData>
            </a:graphic>
          </wp:anchor>
        </w:drawing>
      </w:r>
    </w:p>
    <w:p w:rsidR="00000000" w:rsidRDefault="003E4221">
      <w:pPr>
        <w:rPr>
          <w:b/>
          <w:bCs/>
        </w:rPr>
      </w:pPr>
      <w:r>
        <w:pict>
          <v:shapetype id="_x0000_t202" coordsize="21600,21600" o:spt="202" path="m,l,21600r21600,l21600,xe">
            <v:stroke joinstyle="miter"/>
            <v:path gradientshapeok="t" o:connecttype="rect"/>
          </v:shapetype>
          <v:shape id="_x0000_s1029" type="#_x0000_t202" style="position:absolute;margin-left:166.25pt;margin-top:17.55pt;width:271.2pt;height:41.45pt;z-index:251644928" filled="f" stroked="f" strokecolor="gray">
            <v:stroke color2="#7f7f7f" joinstyle="round"/>
            <v:textbox style="mso-rotate-with-shape:t" inset="0,0,0,0">
              <w:txbxContent>
                <w:p w:rsidR="00000000" w:rsidRDefault="003E4221">
                  <w:pPr>
                    <w:jc w:val="center"/>
                  </w:pPr>
                  <w:r>
                    <w:t>Project Concept Note (PCN)</w:t>
                  </w:r>
                </w:p>
                <w:p w:rsidR="00000000" w:rsidRDefault="003E4221">
                  <w:pPr>
                    <w:jc w:val="center"/>
                  </w:pPr>
                  <w:r>
                    <w:t>CARBON OFFSET UNIT (CoU) PROJECT</w:t>
                  </w:r>
                </w:p>
              </w:txbxContent>
            </v:textbox>
          </v:shape>
        </w:pict>
      </w:r>
    </w:p>
    <w:tbl>
      <w:tblPr>
        <w:tblW w:w="0" w:type="auto"/>
        <w:tblInd w:w="596" w:type="dxa"/>
        <w:tblLayout w:type="fixed"/>
        <w:tblCellMar>
          <w:top w:w="55" w:type="dxa"/>
          <w:left w:w="55" w:type="dxa"/>
          <w:bottom w:w="55" w:type="dxa"/>
          <w:right w:w="55" w:type="dxa"/>
        </w:tblCellMar>
        <w:tblLook w:val="0000"/>
      </w:tblPr>
      <w:tblGrid>
        <w:gridCol w:w="4274"/>
        <w:gridCol w:w="4361"/>
      </w:tblGrid>
      <w:tr w:rsidR="00000000">
        <w:tc>
          <w:tcPr>
            <w:tcW w:w="8635" w:type="dxa"/>
            <w:gridSpan w:val="2"/>
            <w:tcBorders>
              <w:top w:val="single" w:sz="1" w:space="0" w:color="000000"/>
              <w:left w:val="single" w:sz="1" w:space="0" w:color="000000"/>
              <w:bottom w:val="single" w:sz="1" w:space="0" w:color="000000"/>
              <w:right w:val="single" w:sz="1" w:space="0" w:color="000000"/>
            </w:tcBorders>
            <w:shd w:val="clear" w:color="auto" w:fill="auto"/>
          </w:tcPr>
          <w:p w:rsidR="00000000" w:rsidRDefault="003E4221">
            <w:pPr>
              <w:pStyle w:val="TableContents"/>
              <w:snapToGrid w:val="0"/>
            </w:pPr>
          </w:p>
        </w:tc>
      </w:tr>
      <w:tr w:rsidR="00000000">
        <w:tc>
          <w:tcPr>
            <w:tcW w:w="8635" w:type="dxa"/>
            <w:gridSpan w:val="2"/>
            <w:tcBorders>
              <w:left w:val="single" w:sz="1" w:space="0" w:color="000000"/>
              <w:bottom w:val="single" w:sz="1" w:space="0" w:color="000000"/>
              <w:right w:val="single" w:sz="1" w:space="0" w:color="000000"/>
            </w:tcBorders>
            <w:shd w:val="clear" w:color="auto" w:fill="auto"/>
          </w:tcPr>
          <w:p w:rsidR="00000000" w:rsidRDefault="003E4221">
            <w:pPr>
              <w:pStyle w:val="TableContents"/>
              <w:shd w:val="clear" w:color="auto" w:fill="CCCCCC"/>
              <w:jc w:val="center"/>
            </w:pPr>
            <w:r>
              <w:t xml:space="preserve">BASIC INFORMATION </w:t>
            </w:r>
          </w:p>
        </w:tc>
      </w:tr>
      <w:tr w:rsidR="00000000">
        <w:tc>
          <w:tcPr>
            <w:tcW w:w="4274" w:type="dxa"/>
            <w:tcBorders>
              <w:left w:val="single" w:sz="1" w:space="0" w:color="000000"/>
              <w:bottom w:val="single" w:sz="1" w:space="0" w:color="000000"/>
            </w:tcBorders>
            <w:shd w:val="clear" w:color="auto" w:fill="DDDDDD"/>
          </w:tcPr>
          <w:p w:rsidR="00000000" w:rsidRDefault="003E4221">
            <w:pPr>
              <w:pStyle w:val="TableContents"/>
              <w:rPr>
                <w:b/>
                <w:bCs/>
                <w:sz w:val="20"/>
                <w:szCs w:val="20"/>
                <w:u w:val="single"/>
              </w:rPr>
            </w:pPr>
            <w:r>
              <w:rPr>
                <w:sz w:val="20"/>
                <w:szCs w:val="20"/>
              </w:rPr>
              <w:t>Tit</w:t>
            </w:r>
            <w:r>
              <w:rPr>
                <w:sz w:val="20"/>
                <w:szCs w:val="20"/>
              </w:rPr>
              <w:t xml:space="preserve">le of the project activity </w:t>
            </w:r>
          </w:p>
        </w:tc>
        <w:tc>
          <w:tcPr>
            <w:tcW w:w="4361" w:type="dxa"/>
            <w:tcBorders>
              <w:left w:val="single" w:sz="1" w:space="0" w:color="000000"/>
              <w:bottom w:val="single" w:sz="1" w:space="0" w:color="000000"/>
              <w:right w:val="single" w:sz="1" w:space="0" w:color="000000"/>
            </w:tcBorders>
            <w:shd w:val="clear" w:color="auto" w:fill="auto"/>
          </w:tcPr>
          <w:p w:rsidR="00000000" w:rsidRDefault="003E4221">
            <w:pPr>
              <w:jc w:val="both"/>
            </w:pPr>
            <w:r>
              <w:rPr>
                <w:b/>
                <w:bCs/>
                <w:sz w:val="20"/>
                <w:szCs w:val="20"/>
                <w:u w:val="single"/>
              </w:rPr>
              <w:t>Lamdeng Waste to Energy Project, Manipur</w:t>
            </w:r>
          </w:p>
        </w:tc>
      </w:tr>
      <w:tr w:rsidR="00000000">
        <w:tc>
          <w:tcPr>
            <w:tcW w:w="4274"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 xml:space="preserve">Scale of the project activity </w:t>
            </w:r>
          </w:p>
        </w:tc>
        <w:tc>
          <w:tcPr>
            <w:tcW w:w="4361"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Small Scale</w:t>
            </w:r>
          </w:p>
        </w:tc>
      </w:tr>
      <w:tr w:rsidR="00000000">
        <w:tc>
          <w:tcPr>
            <w:tcW w:w="4274"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 xml:space="preserve">Completion date of the PCN </w:t>
            </w:r>
          </w:p>
        </w:tc>
        <w:tc>
          <w:tcPr>
            <w:tcW w:w="4361"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23/10/2021</w:t>
            </w:r>
          </w:p>
        </w:tc>
      </w:tr>
      <w:tr w:rsidR="00000000">
        <w:tc>
          <w:tcPr>
            <w:tcW w:w="4274" w:type="dxa"/>
            <w:tcBorders>
              <w:left w:val="single" w:sz="1" w:space="0" w:color="000000"/>
              <w:bottom w:val="single" w:sz="1" w:space="0" w:color="000000"/>
            </w:tcBorders>
            <w:shd w:val="clear" w:color="auto" w:fill="DDDDDD"/>
          </w:tcPr>
          <w:p w:rsidR="00000000" w:rsidRDefault="003E4221">
            <w:pPr>
              <w:pStyle w:val="TableContents"/>
              <w:rPr>
                <w:sz w:val="20"/>
                <w:szCs w:val="20"/>
                <w:shd w:val="clear" w:color="auto" w:fill="FFFF00"/>
              </w:rPr>
            </w:pPr>
            <w:r>
              <w:rPr>
                <w:sz w:val="20"/>
                <w:szCs w:val="20"/>
              </w:rPr>
              <w:t xml:space="preserve">Project participants </w:t>
            </w:r>
          </w:p>
        </w:tc>
        <w:tc>
          <w:tcPr>
            <w:tcW w:w="4361" w:type="dxa"/>
            <w:tcBorders>
              <w:left w:val="single" w:sz="1" w:space="0" w:color="000000"/>
              <w:bottom w:val="single" w:sz="1" w:space="0" w:color="000000"/>
              <w:right w:val="single" w:sz="1" w:space="0" w:color="000000"/>
            </w:tcBorders>
            <w:shd w:val="clear" w:color="auto" w:fill="auto"/>
          </w:tcPr>
          <w:p w:rsidR="00000000" w:rsidRDefault="00F5359F">
            <w:pPr>
              <w:pStyle w:val="TableContents"/>
            </w:pPr>
            <w:r>
              <w:t xml:space="preserve">IEC-TSL Ingenious Energy LLP, Ahmadabad </w:t>
            </w:r>
          </w:p>
        </w:tc>
      </w:tr>
      <w:tr w:rsidR="00000000">
        <w:tc>
          <w:tcPr>
            <w:tcW w:w="4274"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 xml:space="preserve">Host Party </w:t>
            </w:r>
          </w:p>
        </w:tc>
        <w:tc>
          <w:tcPr>
            <w:tcW w:w="4361"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India</w:t>
            </w:r>
          </w:p>
        </w:tc>
      </w:tr>
      <w:tr w:rsidR="00000000">
        <w:tc>
          <w:tcPr>
            <w:tcW w:w="4274"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 xml:space="preserve">Applied methodologies and standardized baselines </w:t>
            </w:r>
          </w:p>
        </w:tc>
        <w:tc>
          <w:tcPr>
            <w:tcW w:w="4361" w:type="dxa"/>
            <w:tcBorders>
              <w:left w:val="single" w:sz="1" w:space="0" w:color="000000"/>
              <w:bottom w:val="single" w:sz="1" w:space="0" w:color="000000"/>
              <w:right w:val="single" w:sz="1" w:space="0" w:color="000000"/>
            </w:tcBorders>
            <w:shd w:val="clear" w:color="auto" w:fill="auto"/>
          </w:tcPr>
          <w:p w:rsidR="00000000" w:rsidRDefault="003E4221">
            <w:pPr>
              <w:pStyle w:val="TableContents"/>
              <w:rPr>
                <w:sz w:val="20"/>
                <w:szCs w:val="20"/>
              </w:rPr>
            </w:pPr>
            <w:r>
              <w:rPr>
                <w:sz w:val="20"/>
                <w:szCs w:val="20"/>
              </w:rPr>
              <w:t>Smal</w:t>
            </w:r>
            <w:r>
              <w:rPr>
                <w:sz w:val="20"/>
                <w:szCs w:val="20"/>
              </w:rPr>
              <w:t xml:space="preserve">l-scale Methodology </w:t>
            </w:r>
          </w:p>
          <w:p w:rsidR="00000000" w:rsidRDefault="003E4221">
            <w:pPr>
              <w:pStyle w:val="TableContents"/>
              <w:rPr>
                <w:sz w:val="20"/>
                <w:szCs w:val="20"/>
              </w:rPr>
            </w:pPr>
            <w:r>
              <w:rPr>
                <w:sz w:val="20"/>
                <w:szCs w:val="20"/>
              </w:rPr>
              <w:t>AMS.I.D. Grid connected renewable electricity generation</w:t>
            </w:r>
          </w:p>
          <w:p w:rsidR="00000000" w:rsidRDefault="003E4221">
            <w:pPr>
              <w:pStyle w:val="TableContents"/>
              <w:rPr>
                <w:sz w:val="20"/>
                <w:szCs w:val="20"/>
              </w:rPr>
            </w:pPr>
            <w:r>
              <w:rPr>
                <w:sz w:val="20"/>
                <w:szCs w:val="20"/>
              </w:rPr>
              <w:t xml:space="preserve">UCR Protocol Standard Baseline </w:t>
            </w:r>
          </w:p>
          <w:p w:rsidR="00000000" w:rsidRDefault="003E4221">
            <w:pPr>
              <w:pStyle w:val="TableContents"/>
            </w:pPr>
            <w:r>
              <w:rPr>
                <w:sz w:val="20"/>
                <w:szCs w:val="20"/>
              </w:rPr>
              <w:t xml:space="preserve">AMS-III.E Avoidance of methane production from decay of biomass through controlled combustion, gasification or mechanical/thermal treatment </w:t>
            </w:r>
          </w:p>
        </w:tc>
      </w:tr>
      <w:tr w:rsidR="00000000">
        <w:tc>
          <w:tcPr>
            <w:tcW w:w="4274"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Sect</w:t>
            </w:r>
            <w:r>
              <w:rPr>
                <w:sz w:val="20"/>
                <w:szCs w:val="20"/>
              </w:rPr>
              <w:t xml:space="preserve">oral scopes </w:t>
            </w:r>
          </w:p>
        </w:tc>
        <w:tc>
          <w:tcPr>
            <w:tcW w:w="4361" w:type="dxa"/>
            <w:tcBorders>
              <w:left w:val="single" w:sz="1" w:space="0" w:color="000000"/>
              <w:bottom w:val="single" w:sz="1" w:space="0" w:color="000000"/>
              <w:right w:val="single" w:sz="1" w:space="0" w:color="000000"/>
            </w:tcBorders>
            <w:shd w:val="clear" w:color="auto" w:fill="auto"/>
          </w:tcPr>
          <w:p w:rsidR="00000000" w:rsidRDefault="003E4221">
            <w:pPr>
              <w:pStyle w:val="TableContents"/>
              <w:rPr>
                <w:sz w:val="20"/>
                <w:szCs w:val="20"/>
              </w:rPr>
            </w:pPr>
            <w:r>
              <w:rPr>
                <w:sz w:val="20"/>
                <w:szCs w:val="20"/>
              </w:rPr>
              <w:t xml:space="preserve">01 Energy industries (Renewable/NonRenewable Sources) </w:t>
            </w:r>
          </w:p>
          <w:p w:rsidR="00000000" w:rsidRDefault="003E4221">
            <w:pPr>
              <w:pStyle w:val="TableContents"/>
            </w:pPr>
            <w:r>
              <w:rPr>
                <w:sz w:val="20"/>
                <w:szCs w:val="20"/>
              </w:rPr>
              <w:t xml:space="preserve">13 Waste handling and disposal </w:t>
            </w:r>
          </w:p>
        </w:tc>
      </w:tr>
      <w:tr w:rsidR="00000000">
        <w:tc>
          <w:tcPr>
            <w:tcW w:w="4274"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 xml:space="preserve">Estimated total average GHG emission reductions </w:t>
            </w:r>
          </w:p>
        </w:tc>
        <w:tc>
          <w:tcPr>
            <w:tcW w:w="4361" w:type="dxa"/>
            <w:tcBorders>
              <w:left w:val="single" w:sz="1" w:space="0" w:color="000000"/>
              <w:bottom w:val="single" w:sz="1" w:space="0" w:color="000000"/>
              <w:right w:val="single" w:sz="1" w:space="0" w:color="000000"/>
            </w:tcBorders>
            <w:shd w:val="clear" w:color="auto" w:fill="auto"/>
            <w:vAlign w:val="center"/>
          </w:tcPr>
          <w:p w:rsidR="00000000" w:rsidRDefault="003E4221">
            <w:pPr>
              <w:pStyle w:val="TableContents"/>
            </w:pPr>
            <w:r>
              <w:rPr>
                <w:sz w:val="20"/>
                <w:szCs w:val="20"/>
              </w:rPr>
              <w:t>71036 CoUs  (71036 tCO</w:t>
            </w:r>
            <w:r>
              <w:rPr>
                <w:sz w:val="20"/>
                <w:szCs w:val="20"/>
                <w:vertAlign w:val="subscript"/>
              </w:rPr>
              <w:t>2eq</w:t>
            </w:r>
            <w:r>
              <w:rPr>
                <w:sz w:val="20"/>
                <w:szCs w:val="20"/>
              </w:rPr>
              <w:t>)</w:t>
            </w:r>
          </w:p>
        </w:tc>
      </w:tr>
      <w:tr w:rsidR="00000000">
        <w:tc>
          <w:tcPr>
            <w:tcW w:w="4274" w:type="dxa"/>
            <w:tcBorders>
              <w:left w:val="single" w:sz="1" w:space="0" w:color="000000"/>
              <w:bottom w:val="single" w:sz="1" w:space="0" w:color="000000"/>
            </w:tcBorders>
            <w:shd w:val="clear" w:color="auto" w:fill="auto"/>
          </w:tcPr>
          <w:p w:rsidR="00000000" w:rsidRDefault="003E4221">
            <w:pPr>
              <w:pStyle w:val="TableContents"/>
              <w:snapToGrid w:val="0"/>
            </w:pPr>
          </w:p>
        </w:tc>
        <w:tc>
          <w:tcPr>
            <w:tcW w:w="4361" w:type="dxa"/>
            <w:tcBorders>
              <w:left w:val="single" w:sz="1" w:space="0" w:color="000000"/>
              <w:bottom w:val="single" w:sz="1" w:space="0" w:color="000000"/>
              <w:right w:val="single" w:sz="1" w:space="0" w:color="000000"/>
            </w:tcBorders>
            <w:shd w:val="clear" w:color="auto" w:fill="auto"/>
          </w:tcPr>
          <w:p w:rsidR="00000000" w:rsidRDefault="003E4221">
            <w:pPr>
              <w:pStyle w:val="TableContents"/>
              <w:snapToGrid w:val="0"/>
            </w:pPr>
          </w:p>
        </w:tc>
      </w:tr>
    </w:tbl>
    <w:p w:rsidR="00000000" w:rsidRDefault="003E4221">
      <w:pPr>
        <w:rPr>
          <w:b/>
          <w:bCs/>
        </w:rPr>
      </w:pPr>
    </w:p>
    <w:p w:rsidR="00000000" w:rsidRDefault="003E4221">
      <w:pPr>
        <w:rPr>
          <w:b/>
          <w:bCs/>
        </w:rPr>
      </w:pPr>
    </w:p>
    <w:p w:rsidR="00000000" w:rsidRDefault="003E4221">
      <w:pPr>
        <w:rPr>
          <w:b/>
          <w:bCs/>
        </w:rPr>
      </w:pPr>
    </w:p>
    <w:p w:rsidR="00000000" w:rsidRDefault="003E4221">
      <w:pPr>
        <w:pageBreakBefore/>
      </w:pPr>
      <w:r>
        <w:rPr>
          <w:b/>
          <w:bCs/>
        </w:rPr>
        <w:lastRenderedPageBreak/>
        <w:t xml:space="preserve">SECTION A.  Description of project activity </w:t>
      </w:r>
    </w:p>
    <w:p w:rsidR="00000000" w:rsidRDefault="003E4221"/>
    <w:p w:rsidR="00000000" w:rsidRDefault="003E4221">
      <w:pPr>
        <w:shd w:val="clear" w:color="auto" w:fill="DDDDDD"/>
      </w:pPr>
      <w:r>
        <w:t xml:space="preserve">A.1.  Purpose and general </w:t>
      </w:r>
      <w:r>
        <w:t xml:space="preserve">description of Carbon offset Unit (CoU) project activity &gt;&gt; </w:t>
      </w:r>
    </w:p>
    <w:p w:rsidR="00000000" w:rsidRDefault="003E4221"/>
    <w:p w:rsidR="00000000" w:rsidRDefault="003E4221">
      <w:pPr>
        <w:jc w:val="both"/>
      </w:pPr>
      <w:r>
        <w:t xml:space="preserve">The project </w:t>
      </w:r>
      <w:r>
        <w:rPr>
          <w:b/>
          <w:bCs/>
          <w:u w:val="single"/>
        </w:rPr>
        <w:t>Lamdeng Waste to Energy Project, Manipur</w:t>
      </w:r>
      <w:r>
        <w:t xml:space="preserve"> is located at Village: Lamdeng, District: Imphal West, State: Manipur, India.</w:t>
      </w:r>
    </w:p>
    <w:p w:rsidR="00000000" w:rsidRDefault="003E4221">
      <w:pPr>
        <w:jc w:val="both"/>
      </w:pPr>
    </w:p>
    <w:p w:rsidR="00000000" w:rsidRDefault="003E4221">
      <w:pPr>
        <w:jc w:val="both"/>
      </w:pPr>
      <w:r>
        <w:t>The details of the registered project are as follows:</w:t>
      </w:r>
    </w:p>
    <w:p w:rsidR="00000000" w:rsidRDefault="003E4221"/>
    <w:p w:rsidR="00000000" w:rsidRDefault="003E4221">
      <w:r>
        <w:rPr>
          <w:b/>
          <w:bCs/>
        </w:rPr>
        <w:t>Purpose</w:t>
      </w:r>
      <w:r>
        <w:rPr>
          <w:b/>
          <w:bCs/>
        </w:rPr>
        <w:t xml:space="preserve"> of the project activity: </w:t>
      </w:r>
    </w:p>
    <w:p w:rsidR="00000000" w:rsidRDefault="003E4221">
      <w:pPr>
        <w:jc w:val="both"/>
      </w:pPr>
      <w:r>
        <w:t xml:space="preserve">The </w:t>
      </w:r>
      <w:r>
        <w:rPr>
          <w:b/>
          <w:bCs/>
          <w:u w:val="single"/>
        </w:rPr>
        <w:t>Lamdeng Waste to Energy Project, Manipur</w:t>
      </w:r>
      <w:r>
        <w:t xml:space="preserve"> is located at Village: Lamdeng, District: Imphal West, State: Manipur, India. </w:t>
      </w:r>
      <w:r>
        <w:rPr>
          <w:rFonts w:ascii="Playfair Display" w:hAnsi="Playfair Display" w:cs="Playfair Display"/>
          <w:color w:val="232222"/>
        </w:rPr>
        <w:t>The plant has been functioning under the Public-Private Partnerships (PPP) model since December 15, 2016.</w:t>
      </w:r>
      <w:r>
        <w:t xml:space="preserve"> </w:t>
      </w:r>
      <w:r>
        <w:rPr>
          <w:rFonts w:ascii="Playfair Display" w:hAnsi="Playfair Display" w:cs="Playfair Display"/>
          <w:color w:val="232222"/>
        </w:rPr>
        <w:t>Imphal district produces about 120 tonnes of waste per day and a number of processes are involved in effectively managing this waste. It includes monitoring, collection, transport, processing, recycling and disposal.</w:t>
      </w:r>
      <w:r>
        <w:t xml:space="preserve"> </w:t>
      </w:r>
    </w:p>
    <w:p w:rsidR="00000000" w:rsidRDefault="003E4221">
      <w:pPr>
        <w:jc w:val="both"/>
      </w:pPr>
    </w:p>
    <w:p w:rsidR="00000000" w:rsidRDefault="003E4221">
      <w:pPr>
        <w:jc w:val="both"/>
      </w:pPr>
      <w:r>
        <w:rPr>
          <w:rFonts w:ascii="Playfair Display" w:hAnsi="Playfair Display" w:cs="Playfair Display"/>
          <w:color w:val="232222"/>
        </w:rPr>
        <w:t>The project activity is spread across</w:t>
      </w:r>
      <w:r>
        <w:rPr>
          <w:rFonts w:ascii="Playfair Display" w:hAnsi="Playfair Display" w:cs="Playfair Display"/>
          <w:color w:val="232222"/>
        </w:rPr>
        <w:t xml:space="preserve"> an area of 12 acres. The entire process of waste management includes usage of machineries like the JCB's, tractors and processing and refining machines. This venture has also helped generate employment opportunities for many in the city. Currently, the pl</w:t>
      </w:r>
      <w:r>
        <w:rPr>
          <w:rFonts w:ascii="Playfair Display" w:hAnsi="Playfair Display" w:cs="Playfair Display"/>
          <w:color w:val="232222"/>
        </w:rPr>
        <w:t>ant employs 19 people.</w:t>
      </w:r>
    </w:p>
    <w:p w:rsidR="00000000" w:rsidRDefault="003E4221">
      <w:pPr>
        <w:jc w:val="both"/>
      </w:pPr>
    </w:p>
    <w:p w:rsidR="00000000" w:rsidRDefault="003E4221">
      <w:pPr>
        <w:jc w:val="both"/>
      </w:pPr>
      <w:r>
        <w:t>The project proponent has already commissioned this 120 tonne-per-day (TPD) municipal solid waste (MSW)-to-energy project in Imphal, Manipur. The processed solid waste currently generates 600KW</w:t>
      </w:r>
      <w:r>
        <w:rPr>
          <w:vertAlign w:val="subscript"/>
        </w:rPr>
        <w:t>h</w:t>
      </w:r>
      <w:r>
        <w:t>of electricity, which is supplied to t</w:t>
      </w:r>
      <w:r>
        <w:t xml:space="preserve">he grid and has been doing so since </w:t>
      </w:r>
      <w:hyperlink r:id="rId11" w:history="1">
        <w:r>
          <w:rPr>
            <w:rStyle w:val="Hyperlink"/>
          </w:rPr>
          <w:t>April 2021</w:t>
        </w:r>
      </w:hyperlink>
      <w:r>
        <w:t>. This project activity comprises measures that avoids the GHG emissions from methane (CH</w:t>
      </w:r>
      <w:r>
        <w:rPr>
          <w:vertAlign w:val="subscript"/>
        </w:rPr>
        <w:t>4</w:t>
      </w:r>
      <w:r>
        <w:t>) from biomass or other organic mat</w:t>
      </w:r>
      <w:r>
        <w:t xml:space="preserve">ter that would have otherwise been left to decay under anaerobic conditions throughout the crediting period in a solid waste disposal site without methane recovery. </w:t>
      </w:r>
      <w:r>
        <w:t>Since April 2021, the entire generation of RDF has been put through gasification to generat</w:t>
      </w:r>
      <w:r>
        <w:t>e electricity and supplied to the local grid, thus displacing electricity that would be provided to the grid by more-GHG-intensive means. Hence the project activity avoids CH</w:t>
      </w:r>
      <w:r>
        <w:rPr>
          <w:vertAlign w:val="subscript"/>
        </w:rPr>
        <w:t>4</w:t>
      </w:r>
      <w:r>
        <w:t xml:space="preserve"> and CO</w:t>
      </w:r>
      <w:r>
        <w:rPr>
          <w:vertAlign w:val="subscript"/>
        </w:rPr>
        <w:t>2</w:t>
      </w:r>
      <w:r>
        <w:t xml:space="preserve"> emissions and is beneficial to the environment and community.</w:t>
      </w:r>
    </w:p>
    <w:p w:rsidR="00000000" w:rsidRDefault="003E4221">
      <w:pPr>
        <w:jc w:val="both"/>
      </w:pPr>
    </w:p>
    <w:p w:rsidR="00000000" w:rsidRDefault="003E4221">
      <w:pPr>
        <w:pStyle w:val="BodyText"/>
      </w:pPr>
      <w:r>
        <w:t>Between 2</w:t>
      </w:r>
      <w:r>
        <w:t>016 and April 2021, the MSW was treated by mechanical treatment to produce refuse-derived fuel (RDF)/stabilized biomass (SB). This RDF was transported outside the project boundary and supplied as renewable fuel to replace fossil fuel at various industries.</w:t>
      </w:r>
      <w:r>
        <w:t xml:space="preserve"> </w:t>
      </w:r>
    </w:p>
    <w:p w:rsidR="00000000" w:rsidRDefault="003E4221">
      <w:pPr>
        <w:pStyle w:val="BodyText"/>
      </w:pPr>
    </w:p>
    <w:p w:rsidR="00000000" w:rsidRDefault="00F1226C">
      <w:pPr>
        <w:jc w:val="both"/>
      </w:pPr>
      <w:r>
        <w:rPr>
          <w:noProof/>
          <w:lang w:val="en-US" w:eastAsia="en-US" w:bidi="gu-IN"/>
        </w:rPr>
        <w:lastRenderedPageBreak/>
        <w:drawing>
          <wp:anchor distT="0" distB="0" distL="0" distR="0" simplePos="0" relativeHeight="251650048" behindDoc="0" locked="0" layoutInCell="1" allowOverlap="1">
            <wp:simplePos x="0" y="0"/>
            <wp:positionH relativeFrom="column">
              <wp:posOffset>40005</wp:posOffset>
            </wp:positionH>
            <wp:positionV relativeFrom="paragraph">
              <wp:posOffset>45720</wp:posOffset>
            </wp:positionV>
            <wp:extent cx="3046730" cy="2107565"/>
            <wp:effectExtent l="19050" t="0" r="127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3046730" cy="2107565"/>
                    </a:xfrm>
                    <a:prstGeom prst="rect">
                      <a:avLst/>
                    </a:prstGeom>
                    <a:solidFill>
                      <a:srgbClr val="FFFFFF"/>
                    </a:solidFill>
                    <a:ln w="9525">
                      <a:noFill/>
                      <a:miter lim="800000"/>
                      <a:headEnd/>
                      <a:tailEnd/>
                    </a:ln>
                  </pic:spPr>
                </pic:pic>
              </a:graphicData>
            </a:graphic>
          </wp:anchor>
        </w:drawing>
      </w:r>
      <w:r>
        <w:rPr>
          <w:noProof/>
          <w:lang w:val="en-US" w:eastAsia="en-US" w:bidi="gu-IN"/>
        </w:rPr>
        <w:drawing>
          <wp:anchor distT="0" distB="0" distL="0" distR="0" simplePos="0" relativeHeight="251651072" behindDoc="0" locked="0" layoutInCell="1" allowOverlap="1">
            <wp:simplePos x="0" y="0"/>
            <wp:positionH relativeFrom="column">
              <wp:posOffset>3145790</wp:posOffset>
            </wp:positionH>
            <wp:positionV relativeFrom="paragraph">
              <wp:posOffset>0</wp:posOffset>
            </wp:positionV>
            <wp:extent cx="2922270" cy="2160270"/>
            <wp:effectExtent l="1905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srcRect b="10001"/>
                    <a:stretch>
                      <a:fillRect/>
                    </a:stretch>
                  </pic:blipFill>
                  <pic:spPr bwMode="auto">
                    <a:xfrm>
                      <a:off x="0" y="0"/>
                      <a:ext cx="2922270" cy="2160270"/>
                    </a:xfrm>
                    <a:prstGeom prst="rect">
                      <a:avLst/>
                    </a:prstGeom>
                    <a:solidFill>
                      <a:srgbClr val="FFFFFF"/>
                    </a:solidFill>
                    <a:ln w="9525">
                      <a:noFill/>
                      <a:miter lim="800000"/>
                      <a:headEnd/>
                      <a:tailEnd/>
                    </a:ln>
                  </pic:spPr>
                </pic:pic>
              </a:graphicData>
            </a:graphic>
          </wp:anchor>
        </w:drawing>
      </w:r>
    </w:p>
    <w:p w:rsidR="00000000" w:rsidRDefault="003E4221">
      <w:pPr>
        <w:jc w:val="both"/>
      </w:pPr>
    </w:p>
    <w:p w:rsidR="00000000" w:rsidRDefault="00F1226C">
      <w:pPr>
        <w:jc w:val="both"/>
      </w:pPr>
      <w:r>
        <w:rPr>
          <w:noProof/>
          <w:lang w:val="en-US" w:eastAsia="en-US" w:bidi="gu-IN"/>
        </w:rPr>
        <w:drawing>
          <wp:anchor distT="0" distB="0" distL="0" distR="0" simplePos="0" relativeHeight="251664384" behindDoc="0" locked="0" layoutInCell="1" allowOverlap="1">
            <wp:simplePos x="0" y="0"/>
            <wp:positionH relativeFrom="column">
              <wp:posOffset>212090</wp:posOffset>
            </wp:positionH>
            <wp:positionV relativeFrom="paragraph">
              <wp:posOffset>121285</wp:posOffset>
            </wp:positionV>
            <wp:extent cx="5732780" cy="4097655"/>
            <wp:effectExtent l="19050" t="0" r="127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srcRect/>
                    <a:stretch>
                      <a:fillRect/>
                    </a:stretch>
                  </pic:blipFill>
                  <pic:spPr bwMode="auto">
                    <a:xfrm>
                      <a:off x="0" y="0"/>
                      <a:ext cx="5732780" cy="4097655"/>
                    </a:xfrm>
                    <a:prstGeom prst="rect">
                      <a:avLst/>
                    </a:prstGeom>
                    <a:solidFill>
                      <a:srgbClr val="FFFFFF"/>
                    </a:solidFill>
                    <a:ln w="9525">
                      <a:noFill/>
                      <a:miter lim="800000"/>
                      <a:headEnd/>
                      <a:tailEnd/>
                    </a:ln>
                  </pic:spPr>
                </pic:pic>
              </a:graphicData>
            </a:graphic>
          </wp:anchor>
        </w:drawing>
      </w:r>
    </w:p>
    <w:p w:rsidR="00000000" w:rsidRDefault="00F1226C">
      <w:pPr>
        <w:jc w:val="both"/>
      </w:pPr>
      <w:r>
        <w:rPr>
          <w:noProof/>
          <w:lang w:val="en-US" w:eastAsia="en-US" w:bidi="gu-IN"/>
        </w:rPr>
        <w:lastRenderedPageBreak/>
        <w:drawing>
          <wp:anchor distT="0" distB="0" distL="0" distR="0" simplePos="0" relativeHeight="251652096" behindDoc="0" locked="0" layoutInCell="1" allowOverlap="1">
            <wp:simplePos x="0" y="0"/>
            <wp:positionH relativeFrom="column">
              <wp:posOffset>201295</wp:posOffset>
            </wp:positionH>
            <wp:positionV relativeFrom="paragraph">
              <wp:posOffset>89535</wp:posOffset>
            </wp:positionV>
            <wp:extent cx="2895600" cy="2233930"/>
            <wp:effectExtent l="1905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srcRect/>
                    <a:stretch>
                      <a:fillRect/>
                    </a:stretch>
                  </pic:blipFill>
                  <pic:spPr bwMode="auto">
                    <a:xfrm>
                      <a:off x="0" y="0"/>
                      <a:ext cx="2895600" cy="2233930"/>
                    </a:xfrm>
                    <a:prstGeom prst="rect">
                      <a:avLst/>
                    </a:prstGeom>
                    <a:solidFill>
                      <a:srgbClr val="FFFFFF"/>
                    </a:solidFill>
                    <a:ln w="9525">
                      <a:noFill/>
                      <a:miter lim="800000"/>
                      <a:headEnd/>
                      <a:tailEnd/>
                    </a:ln>
                  </pic:spPr>
                </pic:pic>
              </a:graphicData>
            </a:graphic>
          </wp:anchor>
        </w:drawing>
      </w:r>
      <w:r>
        <w:rPr>
          <w:noProof/>
          <w:lang w:val="en-US" w:eastAsia="en-US" w:bidi="gu-IN"/>
        </w:rPr>
        <w:drawing>
          <wp:anchor distT="0" distB="0" distL="0" distR="0" simplePos="0" relativeHeight="251653120" behindDoc="0" locked="0" layoutInCell="1" allowOverlap="1">
            <wp:simplePos x="0" y="0"/>
            <wp:positionH relativeFrom="column">
              <wp:posOffset>3202305</wp:posOffset>
            </wp:positionH>
            <wp:positionV relativeFrom="paragraph">
              <wp:posOffset>106680</wp:posOffset>
            </wp:positionV>
            <wp:extent cx="2722880" cy="2235835"/>
            <wp:effectExtent l="19050" t="0" r="127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srcRect/>
                    <a:stretch>
                      <a:fillRect/>
                    </a:stretch>
                  </pic:blipFill>
                  <pic:spPr bwMode="auto">
                    <a:xfrm>
                      <a:off x="0" y="0"/>
                      <a:ext cx="2722880" cy="2235835"/>
                    </a:xfrm>
                    <a:prstGeom prst="rect">
                      <a:avLst/>
                    </a:prstGeom>
                    <a:solidFill>
                      <a:srgbClr val="FFFFFF"/>
                    </a:solidFill>
                    <a:ln w="9525">
                      <a:noFill/>
                      <a:miter lim="800000"/>
                      <a:headEnd/>
                      <a:tailEnd/>
                    </a:ln>
                  </pic:spPr>
                </pic:pic>
              </a:graphicData>
            </a:graphic>
          </wp:anchor>
        </w:drawing>
      </w:r>
    </w:p>
    <w:p w:rsidR="00000000" w:rsidRDefault="003E4221">
      <w:pPr>
        <w:jc w:val="both"/>
      </w:pPr>
      <w:r>
        <w:t>MSW starts out as a complex mixture of food waste, glass, metals, yard trimmings, woody waste materials, non-recyclable paper and plastic, construction and demolition waste, rags, and sludge from wastewater treatment. MSW presents numerous chal</w:t>
      </w:r>
      <w:r>
        <w:t>lenges when used as a feedstock for energy production: it has low energy content, high moisture, heterogeneous composition, and despite its abundance—it is highly distributed across India making it difficult for traditional approaches to reach economies of</w:t>
      </w:r>
      <w:r>
        <w:t xml:space="preserve"> scale in many parts of the country. In December 2019, the Union Power Minister R.K.Singh told the Indian Parliament that to recover energy from waste and effluent generated from industries, India has set up 186 waste-to-energy projects for the generation </w:t>
      </w:r>
      <w:r>
        <w:t xml:space="preserve">of biogas, bio CNG with a cumulative capacity of 317.03 MW. Out of the 186 projects, five projects are based on MSW, thus generating a total capacity of 66.5 MW of energy. </w:t>
      </w:r>
    </w:p>
    <w:p w:rsidR="00000000" w:rsidRDefault="00F1226C">
      <w:pPr>
        <w:jc w:val="both"/>
      </w:pPr>
      <w:r>
        <w:rPr>
          <w:noProof/>
          <w:lang w:val="en-US" w:eastAsia="en-US" w:bidi="gu-IN"/>
        </w:rPr>
        <w:lastRenderedPageBreak/>
        <w:drawing>
          <wp:anchor distT="0" distB="0" distL="0" distR="0" simplePos="0" relativeHeight="251660288" behindDoc="0" locked="0" layoutInCell="1" allowOverlap="1">
            <wp:simplePos x="0" y="0"/>
            <wp:positionH relativeFrom="column">
              <wp:posOffset>20955</wp:posOffset>
            </wp:positionH>
            <wp:positionV relativeFrom="paragraph">
              <wp:posOffset>149225</wp:posOffset>
            </wp:positionV>
            <wp:extent cx="5981700" cy="3446780"/>
            <wp:effectExtent l="19050" t="0" r="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srcRect/>
                    <a:stretch>
                      <a:fillRect/>
                    </a:stretch>
                  </pic:blipFill>
                  <pic:spPr bwMode="auto">
                    <a:xfrm>
                      <a:off x="0" y="0"/>
                      <a:ext cx="5981700" cy="3446780"/>
                    </a:xfrm>
                    <a:prstGeom prst="rect">
                      <a:avLst/>
                    </a:prstGeom>
                    <a:solidFill>
                      <a:srgbClr val="FFFFFF"/>
                    </a:solidFill>
                    <a:ln w="9525">
                      <a:noFill/>
                      <a:miter lim="800000"/>
                      <a:headEnd/>
                      <a:tailEnd/>
                    </a:ln>
                  </pic:spPr>
                </pic:pic>
              </a:graphicData>
            </a:graphic>
          </wp:anchor>
        </w:drawing>
      </w:r>
      <w:r>
        <w:rPr>
          <w:noProof/>
          <w:lang w:val="en-US" w:eastAsia="en-US" w:bidi="gu-IN"/>
        </w:rPr>
        <w:drawing>
          <wp:anchor distT="0" distB="0" distL="0" distR="0" simplePos="0" relativeHeight="251669504" behindDoc="0" locked="0" layoutInCell="1" allowOverlap="1">
            <wp:simplePos x="0" y="0"/>
            <wp:positionH relativeFrom="column">
              <wp:posOffset>1470025</wp:posOffset>
            </wp:positionH>
            <wp:positionV relativeFrom="paragraph">
              <wp:posOffset>3597275</wp:posOffset>
            </wp:positionV>
            <wp:extent cx="3388360" cy="2759710"/>
            <wp:effectExtent l="19050" t="0" r="254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a:srcRect/>
                    <a:stretch>
                      <a:fillRect/>
                    </a:stretch>
                  </pic:blipFill>
                  <pic:spPr bwMode="auto">
                    <a:xfrm>
                      <a:off x="0" y="0"/>
                      <a:ext cx="3388360" cy="2759710"/>
                    </a:xfrm>
                    <a:prstGeom prst="rect">
                      <a:avLst/>
                    </a:prstGeom>
                    <a:solidFill>
                      <a:srgbClr val="FFFFFF"/>
                    </a:solidFill>
                    <a:ln w="9525">
                      <a:noFill/>
                      <a:miter lim="800000"/>
                      <a:headEnd/>
                      <a:tailEnd/>
                    </a:ln>
                  </pic:spPr>
                </pic:pic>
              </a:graphicData>
            </a:graphic>
          </wp:anchor>
        </w:drawing>
      </w:r>
    </w:p>
    <w:p w:rsidR="00000000" w:rsidRDefault="003E4221">
      <w:pPr>
        <w:pStyle w:val="BodyText"/>
      </w:pPr>
      <w:r>
        <w:t xml:space="preserve">In the absence of sanitary landfills, solid wastes (SWs) get dumped in the open </w:t>
      </w:r>
      <w:r>
        <w:t xml:space="preserve">places, creating nuisance and unhygienic conditions. This has resulted in a high risk of contamination to different environmental compartments including soils, groundwater/surface water, and air leading towards human health hazards. </w:t>
      </w:r>
    </w:p>
    <w:p w:rsidR="00000000" w:rsidRDefault="003E4221">
      <w:pPr>
        <w:pStyle w:val="BodyText"/>
        <w:jc w:val="both"/>
      </w:pPr>
      <w:r>
        <w:t>The newly proposed fut</w:t>
      </w:r>
      <w:r>
        <w:t>ure strategies and action plans by Imphal Municipal Corporation to combat the deficiencies in the existing MSW systems will only prove to be satisfactory and feasible it its  ability to expand keeps pace with the MSW being being generated. In India, the pe</w:t>
      </w:r>
      <w:r>
        <w:t>r capita generation of MSW has increased from 0.44 kg/day in 2001 to 0.5 kg/day in 2011. The increase in purchasing power of urban Indians in addition to the growing population, urbanization and industrialization has resulted in 50% increase of MSW generat</w:t>
      </w:r>
      <w:r>
        <w:t>ed in the last decade. The urban cities of India generate about 68.8 million tons per year or 188, 500 tons per day of MSW. The steep increase of MSW generation has worsened the severity of stress on all available resources such as natural, infrastructural</w:t>
      </w:r>
      <w:r>
        <w:t xml:space="preserve"> and budgetary (Annepu, 2011). The situation has alarmed NGOs, civil </w:t>
      </w:r>
      <w:r>
        <w:lastRenderedPageBreak/>
        <w:t xml:space="preserve">societies and other stakeholders to take part in effective management of MSW in various cities of India. At present, the MSW from Imphal is dumped in Porompat and Langol landfill sites. </w:t>
      </w:r>
    </w:p>
    <w:p w:rsidR="00000000" w:rsidRDefault="003E4221">
      <w:pPr>
        <w:pStyle w:val="BodyText"/>
        <w:jc w:val="both"/>
      </w:pPr>
      <w:r>
        <w:t>Further an added revenue source from the sale of carbon credits will allow increased adoption of similar systems all over the country. The municipal solid waste (MSW) management in Imphal is still infused with challenges owing to the predominant reliance o</w:t>
      </w:r>
      <w:r>
        <w:t xml:space="preserve">n the conventional method of waste collection, transportation and disposal. Segregation of waste is not done at source even though the municipal laws stress the importance of it. The situation at present is alarming and requires improvement in the area of </w:t>
      </w:r>
      <w:r>
        <w:t>infrastructural up gradation, public-private partnership (PPP), public participation, awareness campaign and implementation of existing laws. The reliance on modern method of waste recovery and recycling in the present context of waste management is neglig</w:t>
      </w:r>
      <w:r>
        <w:t xml:space="preserve">ent. </w:t>
      </w:r>
    </w:p>
    <w:p w:rsidR="00000000" w:rsidRDefault="003E4221">
      <w:pPr>
        <w:pStyle w:val="BodyText"/>
      </w:pPr>
    </w:p>
    <w:p w:rsidR="00000000" w:rsidRDefault="00F1226C">
      <w:pPr>
        <w:pStyle w:val="BodyText"/>
      </w:pPr>
      <w:r>
        <w:rPr>
          <w:noProof/>
          <w:lang w:val="en-US" w:eastAsia="en-US" w:bidi="gu-IN"/>
        </w:rPr>
        <w:drawing>
          <wp:anchor distT="0" distB="0" distL="0" distR="0" simplePos="0" relativeHeight="251662336" behindDoc="0" locked="0" layoutInCell="1" allowOverlap="1">
            <wp:simplePos x="0" y="0"/>
            <wp:positionH relativeFrom="column">
              <wp:posOffset>716915</wp:posOffset>
            </wp:positionH>
            <wp:positionV relativeFrom="paragraph">
              <wp:posOffset>5715</wp:posOffset>
            </wp:positionV>
            <wp:extent cx="4589780" cy="2303780"/>
            <wp:effectExtent l="19050" t="0" r="127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srcRect/>
                    <a:stretch>
                      <a:fillRect/>
                    </a:stretch>
                  </pic:blipFill>
                  <pic:spPr bwMode="auto">
                    <a:xfrm>
                      <a:off x="0" y="0"/>
                      <a:ext cx="4589780" cy="2303780"/>
                    </a:xfrm>
                    <a:prstGeom prst="rect">
                      <a:avLst/>
                    </a:prstGeom>
                    <a:solidFill>
                      <a:srgbClr val="FFFFFF"/>
                    </a:solidFill>
                    <a:ln w="9525">
                      <a:noFill/>
                      <a:miter lim="800000"/>
                      <a:headEnd/>
                      <a:tailEnd/>
                    </a:ln>
                  </pic:spPr>
                </pic:pic>
              </a:graphicData>
            </a:graphic>
          </wp:anchor>
        </w:drawing>
      </w:r>
    </w:p>
    <w:p w:rsidR="00000000" w:rsidRDefault="00F1226C">
      <w:pPr>
        <w:pStyle w:val="BodyText"/>
      </w:pPr>
      <w:r>
        <w:rPr>
          <w:noProof/>
          <w:lang w:val="en-US" w:eastAsia="en-US" w:bidi="gu-IN"/>
        </w:rPr>
        <w:drawing>
          <wp:anchor distT="0" distB="0" distL="0" distR="0" simplePos="0" relativeHeight="251668480" behindDoc="0" locked="0" layoutInCell="1" allowOverlap="1">
            <wp:simplePos x="0" y="0"/>
            <wp:positionH relativeFrom="column">
              <wp:posOffset>1031240</wp:posOffset>
            </wp:positionH>
            <wp:positionV relativeFrom="paragraph">
              <wp:posOffset>-52705</wp:posOffset>
            </wp:positionV>
            <wp:extent cx="4151630" cy="3225165"/>
            <wp:effectExtent l="19050" t="0" r="127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a:srcRect/>
                    <a:stretch>
                      <a:fillRect/>
                    </a:stretch>
                  </pic:blipFill>
                  <pic:spPr bwMode="auto">
                    <a:xfrm>
                      <a:off x="0" y="0"/>
                      <a:ext cx="4151630" cy="3225165"/>
                    </a:xfrm>
                    <a:prstGeom prst="rect">
                      <a:avLst/>
                    </a:prstGeom>
                    <a:solidFill>
                      <a:srgbClr val="FFFFFF"/>
                    </a:solidFill>
                    <a:ln w="9525">
                      <a:noFill/>
                      <a:miter lim="800000"/>
                      <a:headEnd/>
                      <a:tailEnd/>
                    </a:ln>
                  </pic:spPr>
                </pic:pic>
              </a:graphicData>
            </a:graphic>
          </wp:anchor>
        </w:drawing>
      </w:r>
    </w:p>
    <w:p w:rsidR="00000000" w:rsidRDefault="003E4221">
      <w:pPr>
        <w:pStyle w:val="BodyText"/>
      </w:pPr>
    </w:p>
    <w:p w:rsidR="00000000" w:rsidRDefault="00F1226C">
      <w:pPr>
        <w:pStyle w:val="BodyText"/>
      </w:pPr>
      <w:r>
        <w:rPr>
          <w:noProof/>
          <w:lang w:val="en-US" w:eastAsia="en-US" w:bidi="gu-IN"/>
        </w:rPr>
        <w:lastRenderedPageBreak/>
        <w:drawing>
          <wp:anchor distT="0" distB="0" distL="0" distR="0" simplePos="0" relativeHeight="251663360" behindDoc="0" locked="0" layoutInCell="1" allowOverlap="1">
            <wp:simplePos x="0" y="0"/>
            <wp:positionH relativeFrom="column">
              <wp:posOffset>97790</wp:posOffset>
            </wp:positionH>
            <wp:positionV relativeFrom="paragraph">
              <wp:posOffset>4269740</wp:posOffset>
            </wp:positionV>
            <wp:extent cx="5923280" cy="4229735"/>
            <wp:effectExtent l="19050" t="0" r="127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srcRect/>
                    <a:stretch>
                      <a:fillRect/>
                    </a:stretch>
                  </pic:blipFill>
                  <pic:spPr bwMode="auto">
                    <a:xfrm>
                      <a:off x="0" y="0"/>
                      <a:ext cx="5923280" cy="4229735"/>
                    </a:xfrm>
                    <a:prstGeom prst="rect">
                      <a:avLst/>
                    </a:prstGeom>
                    <a:solidFill>
                      <a:srgbClr val="FFFFFF"/>
                    </a:solidFill>
                    <a:ln w="9525">
                      <a:noFill/>
                      <a:miter lim="800000"/>
                      <a:headEnd/>
                      <a:tailEnd/>
                    </a:ln>
                  </pic:spPr>
                </pic:pic>
              </a:graphicData>
            </a:graphic>
          </wp:anchor>
        </w:drawing>
      </w:r>
      <w:r>
        <w:rPr>
          <w:noProof/>
          <w:lang w:val="en-US" w:eastAsia="en-US" w:bidi="gu-IN"/>
        </w:rPr>
        <w:drawing>
          <wp:anchor distT="0" distB="0" distL="0" distR="0" simplePos="0" relativeHeight="251667456" behindDoc="0" locked="0" layoutInCell="1" allowOverlap="1">
            <wp:simplePos x="0" y="0"/>
            <wp:positionH relativeFrom="column">
              <wp:posOffset>164465</wp:posOffset>
            </wp:positionH>
            <wp:positionV relativeFrom="paragraph">
              <wp:posOffset>83185</wp:posOffset>
            </wp:positionV>
            <wp:extent cx="5877560" cy="4068445"/>
            <wp:effectExtent l="19050" t="0" r="889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srcRect/>
                    <a:stretch>
                      <a:fillRect/>
                    </a:stretch>
                  </pic:blipFill>
                  <pic:spPr bwMode="auto">
                    <a:xfrm>
                      <a:off x="0" y="0"/>
                      <a:ext cx="5877560" cy="4068445"/>
                    </a:xfrm>
                    <a:prstGeom prst="rect">
                      <a:avLst/>
                    </a:prstGeom>
                    <a:solidFill>
                      <a:srgbClr val="FFFFFF"/>
                    </a:solidFill>
                    <a:ln w="9525">
                      <a:noFill/>
                      <a:miter lim="800000"/>
                      <a:headEnd/>
                      <a:tailEnd/>
                    </a:ln>
                  </pic:spPr>
                </pic:pic>
              </a:graphicData>
            </a:graphic>
          </wp:anchor>
        </w:drawing>
      </w:r>
    </w:p>
    <w:p w:rsidR="00000000" w:rsidRDefault="003E4221">
      <w:pPr>
        <w:pStyle w:val="BodyText"/>
      </w:pPr>
    </w:p>
    <w:p w:rsidR="00000000" w:rsidRDefault="00F1226C">
      <w:pPr>
        <w:pStyle w:val="BodyText"/>
      </w:pPr>
      <w:r>
        <w:rPr>
          <w:noProof/>
          <w:lang w:val="en-US" w:eastAsia="en-US" w:bidi="gu-IN"/>
        </w:rPr>
        <w:lastRenderedPageBreak/>
        <w:drawing>
          <wp:anchor distT="0" distB="0" distL="0" distR="0" simplePos="0" relativeHeight="251670528" behindDoc="0" locked="0" layoutInCell="1" allowOverlap="1">
            <wp:simplePos x="0" y="0"/>
            <wp:positionH relativeFrom="column">
              <wp:posOffset>440690</wp:posOffset>
            </wp:positionH>
            <wp:positionV relativeFrom="paragraph">
              <wp:posOffset>129540</wp:posOffset>
            </wp:positionV>
            <wp:extent cx="5208905" cy="3515995"/>
            <wp:effectExtent l="19050" t="0" r="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a:srcRect/>
                    <a:stretch>
                      <a:fillRect/>
                    </a:stretch>
                  </pic:blipFill>
                  <pic:spPr bwMode="auto">
                    <a:xfrm>
                      <a:off x="0" y="0"/>
                      <a:ext cx="5208905" cy="3515995"/>
                    </a:xfrm>
                    <a:prstGeom prst="rect">
                      <a:avLst/>
                    </a:prstGeom>
                    <a:solidFill>
                      <a:srgbClr val="FFFFFF"/>
                    </a:solidFill>
                    <a:ln w="9525">
                      <a:noFill/>
                      <a:miter lim="800000"/>
                      <a:headEnd/>
                      <a:tailEnd/>
                    </a:ln>
                  </pic:spPr>
                </pic:pic>
              </a:graphicData>
            </a:graphic>
          </wp:anchor>
        </w:drawing>
      </w:r>
    </w:p>
    <w:p w:rsidR="00000000" w:rsidRDefault="00F1226C">
      <w:pPr>
        <w:pStyle w:val="BodyText"/>
      </w:pPr>
      <w:r>
        <w:rPr>
          <w:noProof/>
          <w:lang w:val="en-US" w:eastAsia="en-US" w:bidi="gu-IN"/>
        </w:rPr>
        <w:drawing>
          <wp:anchor distT="0" distB="0" distL="0" distR="0" simplePos="0" relativeHeight="251665408" behindDoc="0" locked="0" layoutInCell="1" allowOverlap="1">
            <wp:simplePos x="0" y="0"/>
            <wp:positionH relativeFrom="column">
              <wp:posOffset>187325</wp:posOffset>
            </wp:positionH>
            <wp:positionV relativeFrom="paragraph">
              <wp:posOffset>100330</wp:posOffset>
            </wp:positionV>
            <wp:extent cx="5719445" cy="4001770"/>
            <wp:effectExtent l="19050" t="0" r="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srcRect/>
                    <a:stretch>
                      <a:fillRect/>
                    </a:stretch>
                  </pic:blipFill>
                  <pic:spPr bwMode="auto">
                    <a:xfrm>
                      <a:off x="0" y="0"/>
                      <a:ext cx="5719445" cy="4001770"/>
                    </a:xfrm>
                    <a:prstGeom prst="rect">
                      <a:avLst/>
                    </a:prstGeom>
                    <a:solidFill>
                      <a:srgbClr val="FFFFFF"/>
                    </a:solidFill>
                    <a:ln w="9525">
                      <a:noFill/>
                      <a:miter lim="800000"/>
                      <a:headEnd/>
                      <a:tailEnd/>
                    </a:ln>
                  </pic:spPr>
                </pic:pic>
              </a:graphicData>
            </a:graphic>
          </wp:anchor>
        </w:drawing>
      </w:r>
    </w:p>
    <w:p w:rsidR="00000000" w:rsidRDefault="003E4221">
      <w:pPr>
        <w:pStyle w:val="BodyText"/>
      </w:pPr>
    </w:p>
    <w:p w:rsidR="00000000" w:rsidRDefault="003E4221">
      <w:pPr>
        <w:pStyle w:val="BodyText"/>
      </w:pPr>
    </w:p>
    <w:p w:rsidR="00000000" w:rsidRDefault="003E4221">
      <w:pPr>
        <w:pStyle w:val="BodyText"/>
      </w:pPr>
    </w:p>
    <w:p w:rsidR="00000000" w:rsidRDefault="003E4221">
      <w:pPr>
        <w:shd w:val="clear" w:color="auto" w:fill="DDDDDD"/>
      </w:pPr>
      <w:r>
        <w:rPr>
          <w:b/>
          <w:bCs/>
        </w:rPr>
        <w:lastRenderedPageBreak/>
        <w:t>A.2 Do no harm or Impact test</w:t>
      </w:r>
      <w:r>
        <w:rPr>
          <w:b/>
          <w:bCs/>
        </w:rPr>
        <w:t xml:space="preserve"> of the project activity&gt;&gt; </w:t>
      </w:r>
    </w:p>
    <w:p w:rsidR="00000000" w:rsidRDefault="003E4221">
      <w:pPr>
        <w:jc w:val="both"/>
        <w:rPr>
          <w:b/>
          <w:bCs/>
        </w:rPr>
      </w:pPr>
      <w:r>
        <w:t xml:space="preserve">There are social, environmental, economic and technological benefits which contribute to sustainable development.  </w:t>
      </w:r>
    </w:p>
    <w:p w:rsidR="00000000" w:rsidRDefault="003E4221">
      <w:pPr>
        <w:numPr>
          <w:ilvl w:val="0"/>
          <w:numId w:val="3"/>
        </w:numPr>
        <w:jc w:val="both"/>
      </w:pPr>
      <w:r>
        <w:rPr>
          <w:b/>
          <w:bCs/>
        </w:rPr>
        <w:t>Social benefits:</w:t>
      </w:r>
      <w:r>
        <w:t xml:space="preserve">  </w:t>
      </w:r>
    </w:p>
    <w:p w:rsidR="00000000" w:rsidRDefault="003E4221">
      <w:pPr>
        <w:numPr>
          <w:ilvl w:val="0"/>
          <w:numId w:val="3"/>
        </w:numPr>
        <w:jc w:val="both"/>
      </w:pPr>
      <w:r>
        <w:t xml:space="preserve">The project contributes in improving the </w:t>
      </w:r>
      <w:r>
        <w:t xml:space="preserve">environmental condition in the region of by hygienic treatment of MSW resulting in improvement of health standard in the city. </w:t>
      </w:r>
    </w:p>
    <w:p w:rsidR="00000000" w:rsidRDefault="003E4221">
      <w:pPr>
        <w:numPr>
          <w:ilvl w:val="0"/>
          <w:numId w:val="3"/>
        </w:numPr>
        <w:jc w:val="both"/>
      </w:pPr>
      <w:r>
        <w:t>The project provides employment opportunity to the locals who sort can collect the recyclables from the plant and ensure that on</w:t>
      </w:r>
      <w:r>
        <w:t xml:space="preserve">ly organic waste is treated. </w:t>
      </w:r>
    </w:p>
    <w:p w:rsidR="00000000" w:rsidRDefault="003E4221">
      <w:pPr>
        <w:numPr>
          <w:ilvl w:val="0"/>
          <w:numId w:val="3"/>
        </w:numPr>
        <w:jc w:val="both"/>
      </w:pPr>
      <w:r>
        <w:t xml:space="preserve">The project would provide both direct and indirect employment opportunity to the people of the region. </w:t>
      </w:r>
    </w:p>
    <w:p w:rsidR="00000000" w:rsidRDefault="003E4221">
      <w:pPr>
        <w:numPr>
          <w:ilvl w:val="0"/>
          <w:numId w:val="3"/>
        </w:numPr>
        <w:jc w:val="both"/>
      </w:pPr>
      <w:r>
        <w:t xml:space="preserve">Reduces outdoor air pollution, thus eliminating health hazards for traders in the vicinity. </w:t>
      </w:r>
    </w:p>
    <w:p w:rsidR="00000000" w:rsidRDefault="003E4221">
      <w:pPr>
        <w:numPr>
          <w:ilvl w:val="0"/>
          <w:numId w:val="3"/>
        </w:numPr>
        <w:jc w:val="both"/>
      </w:pPr>
      <w:r>
        <w:t>The project provides security</w:t>
      </w:r>
      <w:r>
        <w:t xml:space="preserve"> of energy supply since it generates renewable electricity</w:t>
      </w:r>
    </w:p>
    <w:p w:rsidR="00000000" w:rsidRDefault="003E4221">
      <w:pPr>
        <w:numPr>
          <w:ilvl w:val="0"/>
          <w:numId w:val="3"/>
        </w:numPr>
        <w:jc w:val="both"/>
      </w:pPr>
      <w:r>
        <w:t>It leads to better waste management thus keeping the surroundings clean and reduce some of the disease causing pathogens.</w:t>
      </w:r>
    </w:p>
    <w:p w:rsidR="00000000" w:rsidRDefault="003E4221">
      <w:pPr>
        <w:numPr>
          <w:ilvl w:val="0"/>
          <w:numId w:val="3"/>
        </w:numPr>
        <w:jc w:val="both"/>
      </w:pPr>
      <w:r>
        <w:t>The population of Imphal are prone to various diseases like Respiratory inf</w:t>
      </w:r>
      <w:r>
        <w:t xml:space="preserve">ection, Hepatitis, Cholera, Dysentery and Typhoid etc, due to uncontrolled MSW disposal, the project activity helps reduce such illnesses.  </w:t>
      </w:r>
    </w:p>
    <w:p w:rsidR="00000000" w:rsidRDefault="003E4221">
      <w:pPr>
        <w:jc w:val="both"/>
      </w:pPr>
    </w:p>
    <w:p w:rsidR="00000000" w:rsidRDefault="003E4221">
      <w:pPr>
        <w:numPr>
          <w:ilvl w:val="0"/>
          <w:numId w:val="3"/>
        </w:numPr>
        <w:jc w:val="both"/>
      </w:pPr>
      <w:r>
        <w:rPr>
          <w:b/>
          <w:bCs/>
        </w:rPr>
        <w:t>Environmental benefits:</w:t>
      </w:r>
      <w:r>
        <w:t xml:space="preserve">  </w:t>
      </w:r>
    </w:p>
    <w:p w:rsidR="00000000" w:rsidRDefault="003E4221">
      <w:pPr>
        <w:numPr>
          <w:ilvl w:val="0"/>
          <w:numId w:val="3"/>
        </w:numPr>
        <w:jc w:val="both"/>
      </w:pPr>
      <w:r>
        <w:t xml:space="preserve">Curbs methane emission as well as any leachate that would otherwise have been generated </w:t>
      </w:r>
      <w:r>
        <w:t xml:space="preserve">from the current practice of unscientific waste disposal. </w:t>
      </w:r>
    </w:p>
    <w:p w:rsidR="00000000" w:rsidRDefault="003E4221">
      <w:pPr>
        <w:numPr>
          <w:ilvl w:val="0"/>
          <w:numId w:val="3"/>
        </w:numPr>
        <w:jc w:val="both"/>
      </w:pPr>
      <w:r>
        <w:t>The land requirement used for a disposal site is removed as also is the area for dumping of equivalent amount of waste. This indirectly enables the region to move towards a better way of land utili</w:t>
      </w:r>
      <w:r>
        <w:t xml:space="preserve">sation, like construction of housing, hospital etc. </w:t>
      </w:r>
    </w:p>
    <w:p w:rsidR="00000000" w:rsidRDefault="003E4221">
      <w:pPr>
        <w:numPr>
          <w:ilvl w:val="0"/>
          <w:numId w:val="3"/>
        </w:numPr>
        <w:jc w:val="both"/>
      </w:pPr>
      <w:r>
        <w:t xml:space="preserve">Further, by generating electricity, the project helps in replacing fossil fuel intensive power generation from the local grid.  </w:t>
      </w:r>
    </w:p>
    <w:p w:rsidR="00000000" w:rsidRDefault="003E4221">
      <w:pPr>
        <w:numPr>
          <w:ilvl w:val="0"/>
          <w:numId w:val="3"/>
        </w:numPr>
        <w:jc w:val="both"/>
      </w:pPr>
      <w:r>
        <w:t xml:space="preserve">Avoids local environmental air pollution through better waste management  </w:t>
      </w:r>
    </w:p>
    <w:p w:rsidR="00000000" w:rsidRDefault="003E4221">
      <w:pPr>
        <w:numPr>
          <w:ilvl w:val="0"/>
          <w:numId w:val="3"/>
        </w:numPr>
        <w:jc w:val="both"/>
      </w:pPr>
      <w:r>
        <w:t>All the waste generated in the surrounding area used to dumped in open landfills unscientifically, leading to acute shortage of land fill site near the city. The project activity involves the processing of municipal solid waste and generation of power.</w:t>
      </w:r>
    </w:p>
    <w:p w:rsidR="00000000" w:rsidRDefault="003E4221">
      <w:pPr>
        <w:jc w:val="both"/>
        <w:rPr>
          <w:b/>
          <w:bCs/>
        </w:rPr>
      </w:pPr>
      <w:r>
        <w:t xml:space="preserve"> </w:t>
      </w:r>
    </w:p>
    <w:p w:rsidR="00000000" w:rsidRDefault="003E4221">
      <w:pPr>
        <w:numPr>
          <w:ilvl w:val="0"/>
          <w:numId w:val="3"/>
        </w:numPr>
        <w:jc w:val="both"/>
      </w:pPr>
      <w:r>
        <w:rPr>
          <w:b/>
          <w:bCs/>
        </w:rPr>
        <w:t xml:space="preserve">Economic and Technological benefits: </w:t>
      </w:r>
    </w:p>
    <w:p w:rsidR="00000000" w:rsidRDefault="003E4221">
      <w:pPr>
        <w:numPr>
          <w:ilvl w:val="0"/>
          <w:numId w:val="3"/>
        </w:numPr>
        <w:jc w:val="both"/>
      </w:pPr>
      <w:r>
        <w:t xml:space="preserve">The project activity contributes in terms of streamlining the collection and segregation of MSW before further treatment and increases the chances of recovery of products that can be reused and recycled. </w:t>
      </w:r>
    </w:p>
    <w:p w:rsidR="00000000" w:rsidRDefault="003E4221">
      <w:pPr>
        <w:numPr>
          <w:ilvl w:val="0"/>
          <w:numId w:val="3"/>
        </w:numPr>
        <w:jc w:val="both"/>
      </w:pPr>
      <w:r>
        <w:t>Provides empl</w:t>
      </w:r>
      <w:r>
        <w:t>oyment to local communities through construction, maintenance of MSW and electricity units.</w:t>
      </w:r>
    </w:p>
    <w:p w:rsidR="00000000" w:rsidRDefault="003E4221">
      <w:pPr>
        <w:numPr>
          <w:ilvl w:val="0"/>
          <w:numId w:val="3"/>
        </w:numPr>
        <w:jc w:val="both"/>
      </w:pPr>
      <w:r>
        <w:t xml:space="preserve">It also helped in creating hygienic working and environment conditions for the locals engaged in waste collection and segregation from the dumping site. </w:t>
      </w:r>
    </w:p>
    <w:p w:rsidR="00000000" w:rsidRDefault="003E4221">
      <w:pPr>
        <w:numPr>
          <w:ilvl w:val="0"/>
          <w:numId w:val="3"/>
        </w:numPr>
      </w:pPr>
      <w:r>
        <w:t>The revenu</w:t>
      </w:r>
      <w:r>
        <w:t>e from carbon credits will showcase such efforts undertaken to make MSW to energy projects environmentally sustainable and rewarding. Further using carbon revenue, the project proponent can provide incentives to households to segregate the waste at the sou</w:t>
      </w:r>
      <w:r>
        <w:t>rce and in return earn tokens or tax credits.</w:t>
      </w:r>
    </w:p>
    <w:p w:rsidR="00000000" w:rsidRDefault="003E4221">
      <w:pPr>
        <w:numPr>
          <w:ilvl w:val="0"/>
          <w:numId w:val="3"/>
        </w:numPr>
      </w:pPr>
      <w:r>
        <w:t>Funds from the sale of carbon credits will be used for upgrading the power generation capactiy. Further, the revenue from carbon credits can also be used to aquire land for expansion due to the rate of populati</w:t>
      </w:r>
      <w:r>
        <w:t>on growth in the city and the amount of MSW expected to be generated, since additional land requirement for MSW disposal in Imphal town is estimated at 171 acres by 2035 (</w:t>
      </w:r>
      <w:r>
        <w:rPr>
          <w:sz w:val="16"/>
          <w:szCs w:val="16"/>
        </w:rPr>
        <w:t>source:</w:t>
      </w:r>
      <w:r>
        <w:t xml:space="preserve"> </w:t>
      </w:r>
      <w:r>
        <w:rPr>
          <w:sz w:val="16"/>
          <w:szCs w:val="16"/>
        </w:rPr>
        <w:t>International Journal of Waste Resources , 2016, Municipal Solid Waste Manage</w:t>
      </w:r>
      <w:r>
        <w:rPr>
          <w:sz w:val="16"/>
          <w:szCs w:val="16"/>
        </w:rPr>
        <w:t xml:space="preserve">ment in Imphal Town, Northeast India: A Critical Analysis of Existing Management Practices and Proposed Action Plans). </w:t>
      </w:r>
      <w:r>
        <w:t xml:space="preserve"> </w:t>
      </w:r>
    </w:p>
    <w:p w:rsidR="00000000" w:rsidRDefault="003E4221">
      <w:pPr>
        <w:jc w:val="both"/>
      </w:pPr>
    </w:p>
    <w:p w:rsidR="00000000" w:rsidRDefault="003E4221">
      <w:pPr>
        <w:pageBreakBefore/>
        <w:rPr>
          <w:shd w:val="clear" w:color="auto" w:fill="CCCCCC"/>
        </w:rPr>
      </w:pPr>
    </w:p>
    <w:p w:rsidR="00000000" w:rsidRDefault="003E4221">
      <w:pPr>
        <w:shd w:val="clear" w:color="auto" w:fill="DDDDDD"/>
      </w:pPr>
      <w:r>
        <w:rPr>
          <w:b/>
          <w:bCs/>
        </w:rPr>
        <w:t xml:space="preserve">A.3.  Location of project activity &gt;&gt;  </w:t>
      </w:r>
    </w:p>
    <w:p w:rsidR="00000000" w:rsidRDefault="003E4221">
      <w:r>
        <w:t xml:space="preserve">Country: India. </w:t>
      </w:r>
    </w:p>
    <w:p w:rsidR="00000000" w:rsidRDefault="003E4221">
      <w:r>
        <w:t>District:  Imphal West</w:t>
      </w:r>
    </w:p>
    <w:p w:rsidR="00000000" w:rsidRDefault="003E4221">
      <w:r>
        <w:t>Village:  Lamdeng</w:t>
      </w:r>
    </w:p>
    <w:p w:rsidR="00000000" w:rsidRDefault="003E4221">
      <w:r>
        <w:t>State:  Manipur</w:t>
      </w:r>
    </w:p>
    <w:p w:rsidR="00000000" w:rsidRDefault="003E4221">
      <w:r>
        <w:t>Code: 795001</w:t>
      </w:r>
    </w:p>
    <w:p w:rsidR="00000000" w:rsidRDefault="00F1226C">
      <w:r>
        <w:rPr>
          <w:noProof/>
          <w:lang w:val="en-US" w:eastAsia="en-US" w:bidi="gu-IN"/>
        </w:rPr>
        <w:drawing>
          <wp:anchor distT="0" distB="0" distL="0" distR="0" simplePos="0" relativeHeight="251648000" behindDoc="0" locked="0" layoutInCell="1" allowOverlap="1">
            <wp:simplePos x="0" y="0"/>
            <wp:positionH relativeFrom="column">
              <wp:align>center</wp:align>
            </wp:positionH>
            <wp:positionV relativeFrom="paragraph">
              <wp:posOffset>0</wp:posOffset>
            </wp:positionV>
            <wp:extent cx="5952490" cy="3246755"/>
            <wp:effectExtent l="1905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srcRect/>
                    <a:stretch>
                      <a:fillRect/>
                    </a:stretch>
                  </pic:blipFill>
                  <pic:spPr bwMode="auto">
                    <a:xfrm>
                      <a:off x="0" y="0"/>
                      <a:ext cx="5952490" cy="3246755"/>
                    </a:xfrm>
                    <a:prstGeom prst="rect">
                      <a:avLst/>
                    </a:prstGeom>
                    <a:solidFill>
                      <a:srgbClr val="FFFFFF"/>
                    </a:solidFill>
                    <a:ln w="9525">
                      <a:noFill/>
                      <a:miter lim="800000"/>
                      <a:headEnd/>
                      <a:tailEnd/>
                    </a:ln>
                  </pic:spPr>
                </pic:pic>
              </a:graphicData>
            </a:graphic>
          </wp:anchor>
        </w:drawing>
      </w:r>
      <w:r>
        <w:rPr>
          <w:noProof/>
          <w:lang w:val="en-US" w:eastAsia="en-US" w:bidi="gu-IN"/>
        </w:rPr>
        <w:drawing>
          <wp:anchor distT="0" distB="0" distL="0" distR="0" simplePos="0" relativeHeight="251666432" behindDoc="0" locked="0" layoutInCell="1" allowOverlap="1">
            <wp:simplePos x="0" y="0"/>
            <wp:positionH relativeFrom="column">
              <wp:posOffset>288290</wp:posOffset>
            </wp:positionH>
            <wp:positionV relativeFrom="paragraph">
              <wp:posOffset>3339465</wp:posOffset>
            </wp:positionV>
            <wp:extent cx="5685155" cy="3683000"/>
            <wp:effectExtent l="19050" t="0" r="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a:srcRect/>
                    <a:stretch>
                      <a:fillRect/>
                    </a:stretch>
                  </pic:blipFill>
                  <pic:spPr bwMode="auto">
                    <a:xfrm>
                      <a:off x="0" y="0"/>
                      <a:ext cx="5685155" cy="3683000"/>
                    </a:xfrm>
                    <a:prstGeom prst="rect">
                      <a:avLst/>
                    </a:prstGeom>
                    <a:solidFill>
                      <a:srgbClr val="FFFFFF"/>
                    </a:solidFill>
                    <a:ln w="9525">
                      <a:noFill/>
                      <a:miter lim="800000"/>
                      <a:headEnd/>
                      <a:tailEnd/>
                    </a:ln>
                  </pic:spPr>
                </pic:pic>
              </a:graphicData>
            </a:graphic>
          </wp:anchor>
        </w:drawing>
      </w:r>
    </w:p>
    <w:p w:rsidR="00000000" w:rsidRDefault="003E4221"/>
    <w:p w:rsidR="00000000" w:rsidRDefault="003E4221"/>
    <w:p w:rsidR="00000000" w:rsidRDefault="003E4221"/>
    <w:p w:rsidR="00000000" w:rsidRDefault="003E4221">
      <w:pPr>
        <w:shd w:val="clear" w:color="auto" w:fill="DDDDDD"/>
      </w:pPr>
      <w:r>
        <w:rPr>
          <w:b/>
          <w:bCs/>
        </w:rPr>
        <w:lastRenderedPageBreak/>
        <w:t xml:space="preserve">A.4.  Technologies/measures &gt;&gt; </w:t>
      </w:r>
    </w:p>
    <w:p w:rsidR="00000000" w:rsidRDefault="003E4221"/>
    <w:p w:rsidR="00000000" w:rsidRDefault="003E4221">
      <w:pPr>
        <w:jc w:val="both"/>
      </w:pPr>
      <w:r>
        <w:t>Preprocessing of MSW is primarily intended to remove large debris and large objects of inerts that are typical of littering culture in Manipur and India. Incoming MSW from the city using trucks is unloaded on tipping floor.</w:t>
      </w:r>
      <w:r>
        <w:t xml:space="preserve"> A trammel is placed to screen out stones, accompanying silt as it induces a gyratory movement for the MSW as it tumbles and cascades down the trammel. It involves manual and mechanical sorting further to remove plastics, rubber and leather and large metal</w:t>
      </w:r>
      <w:r>
        <w:t xml:space="preserve"> objects. The speed of the belt carrying the MSW is variable to permit the same with ease. Incoming MSW from the city using trucks is unloaded on tipping floor. </w:t>
      </w:r>
    </w:p>
    <w:p w:rsidR="00000000" w:rsidRDefault="003E4221"/>
    <w:p w:rsidR="00000000" w:rsidRDefault="003E4221">
      <w:r>
        <w:t>Before shredding, the incoming MSW is inspected on the horizontal conveyer and odd objects li</w:t>
      </w:r>
      <w:r>
        <w:t>ke big inert pieces, wooden pieces, long iron pieces etc. are hand picked and removed. Residue generated prior to primary shredding of MSW is mostly inert material as well as segregated material like rubber, large debris emanating from construction and lar</w:t>
      </w:r>
      <w:r>
        <w:t>ge biomass objects.</w:t>
      </w:r>
    </w:p>
    <w:p w:rsidR="00000000" w:rsidRDefault="003E4221"/>
    <w:p w:rsidR="00000000" w:rsidRDefault="003E4221">
      <w:pPr>
        <w:rPr>
          <w:shd w:val="clear" w:color="auto" w:fill="CCCCCC"/>
        </w:rPr>
      </w:pPr>
      <w:r>
        <w:t>Rubber is recycled while other inert matter is discarded to dump yard. After inspection, it is pushed on the slat conveyor for primary shredding. In primary shredding, MSW is delumped in to small sizes to enable easy drying and separat</w:t>
      </w:r>
      <w:r>
        <w:t xml:space="preserve">ion. Delumped MSW is dried to reduce the moisture content in the drying yard/shed.  </w:t>
      </w:r>
    </w:p>
    <w:p w:rsidR="00000000" w:rsidRDefault="003E4221">
      <w:pPr>
        <w:rPr>
          <w:shd w:val="clear" w:color="auto" w:fill="CCCCCC"/>
        </w:rPr>
      </w:pPr>
    </w:p>
    <w:p w:rsidR="00000000" w:rsidRDefault="003E4221">
      <w:pPr>
        <w:rPr>
          <w:shd w:val="clear" w:color="auto" w:fill="CCCCCC"/>
        </w:rPr>
      </w:pPr>
    </w:p>
    <w:p w:rsidR="00000000" w:rsidRDefault="00F1226C">
      <w:pPr>
        <w:jc w:val="both"/>
      </w:pPr>
      <w:r>
        <w:rPr>
          <w:noProof/>
          <w:lang w:val="en-US" w:eastAsia="en-US" w:bidi="gu-IN"/>
        </w:rPr>
        <w:drawing>
          <wp:anchor distT="0" distB="0" distL="0" distR="0" simplePos="0" relativeHeight="251661312" behindDoc="0" locked="0" layoutInCell="1" allowOverlap="1">
            <wp:simplePos x="0" y="0"/>
            <wp:positionH relativeFrom="column">
              <wp:posOffset>325120</wp:posOffset>
            </wp:positionH>
            <wp:positionV relativeFrom="paragraph">
              <wp:posOffset>247650</wp:posOffset>
            </wp:positionV>
            <wp:extent cx="5467350" cy="3782060"/>
            <wp:effectExtent l="19050" t="0" r="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srcRect/>
                    <a:stretch>
                      <a:fillRect/>
                    </a:stretch>
                  </pic:blipFill>
                  <pic:spPr bwMode="auto">
                    <a:xfrm>
                      <a:off x="0" y="0"/>
                      <a:ext cx="5467350" cy="3782060"/>
                    </a:xfrm>
                    <a:prstGeom prst="rect">
                      <a:avLst/>
                    </a:prstGeom>
                    <a:solidFill>
                      <a:srgbClr val="FFFFFF"/>
                    </a:solidFill>
                    <a:ln w="9525">
                      <a:noFill/>
                      <a:miter lim="800000"/>
                      <a:headEnd/>
                      <a:tailEnd/>
                    </a:ln>
                  </pic:spPr>
                </pic:pic>
              </a:graphicData>
            </a:graphic>
          </wp:anchor>
        </w:drawing>
      </w:r>
    </w:p>
    <w:p w:rsidR="00000000" w:rsidRDefault="003E4221">
      <w:pPr>
        <w:jc w:val="both"/>
      </w:pPr>
    </w:p>
    <w:p w:rsidR="00000000" w:rsidRDefault="003E4221">
      <w:pPr>
        <w:jc w:val="both"/>
      </w:pPr>
      <w:r>
        <w:t>The project activity processes the MSW and generates RDF which is combusted as the main fuel in the specifically designed gasifier to produce syngas. All the syngas p</w:t>
      </w:r>
      <w:r>
        <w:t>roduced, which may contain non-CO2 GHG, is combusted and not released unburned to the atmosphere. Measures to avoid physical leakage of the syngas between the gasification and combustion sites is already adopted. The syngas passes through the generator set</w:t>
      </w:r>
      <w:r>
        <w:t xml:space="preserve"> to generate power and is connected to the local grid for direct electricity export. RDF firing energy plant facilities are complex and regardless of size, call </w:t>
      </w:r>
      <w:r>
        <w:lastRenderedPageBreak/>
        <w:t xml:space="preserve">for specialized design, automatic control sophistication and construction. Materials handling, </w:t>
      </w:r>
      <w:r>
        <w:t xml:space="preserve">fuel feeding, ash removal, air pollution control and overall operating procedures are far more complicated than those of a similarly sized biomass based power plant. In RDF firing, the garbage/MSW received is separated, classified and reclaimed in various </w:t>
      </w:r>
      <w:r>
        <w:t>ways to yield high calorific value fuel. The combustion of RDF poses its own set of unique problems to a boiler designer in the areas like fuel handling system, combustion, staging/fouling and corrosion/erosion, which can be quite different from those, enc</w:t>
      </w:r>
      <w:r>
        <w:t xml:space="preserve">ountered in a mass burn boiler system. </w:t>
      </w:r>
    </w:p>
    <w:p w:rsidR="00000000" w:rsidRDefault="003E4221">
      <w:pPr>
        <w:jc w:val="both"/>
      </w:pPr>
      <w:r>
        <w:t xml:space="preserve"> </w:t>
      </w:r>
    </w:p>
    <w:p w:rsidR="00000000" w:rsidRDefault="003E4221">
      <w:pPr>
        <w:jc w:val="both"/>
      </w:pPr>
    </w:p>
    <w:p w:rsidR="00000000" w:rsidRDefault="00F1226C">
      <w:pPr>
        <w:jc w:val="both"/>
      </w:pPr>
      <w:r>
        <w:rPr>
          <w:noProof/>
          <w:lang w:val="en-US" w:eastAsia="en-US" w:bidi="gu-IN"/>
        </w:rPr>
        <w:drawing>
          <wp:anchor distT="0" distB="0" distL="0" distR="0" simplePos="0" relativeHeight="251656192" behindDoc="0" locked="0" layoutInCell="1" allowOverlap="1">
            <wp:simplePos x="0" y="0"/>
            <wp:positionH relativeFrom="column">
              <wp:posOffset>153670</wp:posOffset>
            </wp:positionH>
            <wp:positionV relativeFrom="paragraph">
              <wp:posOffset>0</wp:posOffset>
            </wp:positionV>
            <wp:extent cx="2771140" cy="2142490"/>
            <wp:effectExtent l="1905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srcRect/>
                    <a:stretch>
                      <a:fillRect/>
                    </a:stretch>
                  </pic:blipFill>
                  <pic:spPr bwMode="auto">
                    <a:xfrm>
                      <a:off x="0" y="0"/>
                      <a:ext cx="2771140" cy="2142490"/>
                    </a:xfrm>
                    <a:prstGeom prst="rect">
                      <a:avLst/>
                    </a:prstGeom>
                    <a:solidFill>
                      <a:srgbClr val="FFFFFF"/>
                    </a:solidFill>
                    <a:ln w="9525">
                      <a:noFill/>
                      <a:miter lim="800000"/>
                      <a:headEnd/>
                      <a:tailEnd/>
                    </a:ln>
                  </pic:spPr>
                </pic:pic>
              </a:graphicData>
            </a:graphic>
          </wp:anchor>
        </w:drawing>
      </w:r>
      <w:r>
        <w:rPr>
          <w:noProof/>
          <w:lang w:val="en-US" w:eastAsia="en-US" w:bidi="gu-IN"/>
        </w:rPr>
        <w:drawing>
          <wp:anchor distT="0" distB="0" distL="0" distR="0" simplePos="0" relativeHeight="251657216" behindDoc="0" locked="0" layoutInCell="1" allowOverlap="1">
            <wp:simplePos x="0" y="0"/>
            <wp:positionH relativeFrom="column">
              <wp:posOffset>3088640</wp:posOffset>
            </wp:positionH>
            <wp:positionV relativeFrom="paragraph">
              <wp:posOffset>0</wp:posOffset>
            </wp:positionV>
            <wp:extent cx="2905760" cy="2171065"/>
            <wp:effectExtent l="19050" t="0" r="889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srcRect/>
                    <a:stretch>
                      <a:fillRect/>
                    </a:stretch>
                  </pic:blipFill>
                  <pic:spPr bwMode="auto">
                    <a:xfrm>
                      <a:off x="0" y="0"/>
                      <a:ext cx="2905760" cy="2171065"/>
                    </a:xfrm>
                    <a:prstGeom prst="rect">
                      <a:avLst/>
                    </a:prstGeom>
                    <a:solidFill>
                      <a:srgbClr val="FFFFFF"/>
                    </a:solidFill>
                    <a:ln w="9525">
                      <a:noFill/>
                      <a:miter lim="800000"/>
                      <a:headEnd/>
                      <a:tailEnd/>
                    </a:ln>
                  </pic:spPr>
                </pic:pic>
              </a:graphicData>
            </a:graphic>
          </wp:anchor>
        </w:drawing>
      </w:r>
    </w:p>
    <w:p w:rsidR="00000000" w:rsidRDefault="00F1226C">
      <w:pPr>
        <w:jc w:val="both"/>
      </w:pPr>
      <w:r>
        <w:rPr>
          <w:noProof/>
          <w:lang w:val="en-US" w:eastAsia="en-US" w:bidi="gu-IN"/>
        </w:rPr>
        <w:drawing>
          <wp:anchor distT="0" distB="0" distL="0" distR="0" simplePos="0" relativeHeight="251658240" behindDoc="0" locked="0" layoutInCell="1" allowOverlap="1">
            <wp:simplePos x="0" y="0"/>
            <wp:positionH relativeFrom="column">
              <wp:posOffset>229870</wp:posOffset>
            </wp:positionH>
            <wp:positionV relativeFrom="paragraph">
              <wp:posOffset>0</wp:posOffset>
            </wp:positionV>
            <wp:extent cx="2647315" cy="2414905"/>
            <wp:effectExtent l="19050" t="0" r="635"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srcRect/>
                    <a:stretch>
                      <a:fillRect/>
                    </a:stretch>
                  </pic:blipFill>
                  <pic:spPr bwMode="auto">
                    <a:xfrm>
                      <a:off x="0" y="0"/>
                      <a:ext cx="2647315" cy="2414905"/>
                    </a:xfrm>
                    <a:prstGeom prst="rect">
                      <a:avLst/>
                    </a:prstGeom>
                    <a:solidFill>
                      <a:srgbClr val="FFFFFF"/>
                    </a:solidFill>
                    <a:ln w="9525">
                      <a:noFill/>
                      <a:miter lim="800000"/>
                      <a:headEnd/>
                      <a:tailEnd/>
                    </a:ln>
                  </pic:spPr>
                </pic:pic>
              </a:graphicData>
            </a:graphic>
          </wp:anchor>
        </w:drawing>
      </w:r>
      <w:r>
        <w:rPr>
          <w:noProof/>
          <w:lang w:val="en-US" w:eastAsia="en-US" w:bidi="gu-IN"/>
        </w:rPr>
        <w:drawing>
          <wp:anchor distT="0" distB="0" distL="0" distR="0" simplePos="0" relativeHeight="251659264" behindDoc="0" locked="0" layoutInCell="1" allowOverlap="1">
            <wp:simplePos x="0" y="0"/>
            <wp:positionH relativeFrom="column">
              <wp:posOffset>3117215</wp:posOffset>
            </wp:positionH>
            <wp:positionV relativeFrom="paragraph">
              <wp:posOffset>0</wp:posOffset>
            </wp:positionV>
            <wp:extent cx="2844165" cy="2414905"/>
            <wp:effectExtent l="1905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srcRect/>
                    <a:stretch>
                      <a:fillRect/>
                    </a:stretch>
                  </pic:blipFill>
                  <pic:spPr bwMode="auto">
                    <a:xfrm>
                      <a:off x="0" y="0"/>
                      <a:ext cx="2844165" cy="2414905"/>
                    </a:xfrm>
                    <a:prstGeom prst="rect">
                      <a:avLst/>
                    </a:prstGeom>
                    <a:solidFill>
                      <a:srgbClr val="FFFFFF"/>
                    </a:solidFill>
                    <a:ln w="9525">
                      <a:noFill/>
                      <a:miter lim="800000"/>
                      <a:headEnd/>
                      <a:tailEnd/>
                    </a:ln>
                  </pic:spPr>
                </pic:pic>
              </a:graphicData>
            </a:graphic>
          </wp:anchor>
        </w:drawing>
      </w:r>
    </w:p>
    <w:p w:rsidR="00000000" w:rsidRDefault="003E4221">
      <w:pPr>
        <w:shd w:val="clear" w:color="auto" w:fill="DDDDDD"/>
        <w:rPr>
          <w:shd w:val="clear" w:color="auto" w:fill="CCCCCC"/>
        </w:rPr>
      </w:pPr>
      <w:r>
        <w:rPr>
          <w:b/>
          <w:bCs/>
        </w:rPr>
        <w:t>A.5.  Parties and project participants &gt;&gt;</w:t>
      </w:r>
    </w:p>
    <w:p w:rsidR="00000000" w:rsidRDefault="003E4221">
      <w:pPr>
        <w:rPr>
          <w:shd w:val="clear" w:color="auto" w:fill="CCCCCC"/>
        </w:rPr>
      </w:pPr>
    </w:p>
    <w:tbl>
      <w:tblPr>
        <w:tblW w:w="0" w:type="auto"/>
        <w:tblInd w:w="2081" w:type="dxa"/>
        <w:tblLayout w:type="fixed"/>
        <w:tblCellMar>
          <w:top w:w="55" w:type="dxa"/>
          <w:left w:w="55" w:type="dxa"/>
          <w:bottom w:w="55" w:type="dxa"/>
          <w:right w:w="55" w:type="dxa"/>
        </w:tblCellMar>
        <w:tblLook w:val="0000"/>
      </w:tblPr>
      <w:tblGrid>
        <w:gridCol w:w="2789"/>
        <w:gridCol w:w="3521"/>
      </w:tblGrid>
      <w:tr w:rsidR="00000000">
        <w:tc>
          <w:tcPr>
            <w:tcW w:w="2789" w:type="dxa"/>
            <w:tcBorders>
              <w:top w:val="single" w:sz="1" w:space="0" w:color="000000"/>
              <w:left w:val="single" w:sz="1" w:space="0" w:color="000000"/>
              <w:bottom w:val="single" w:sz="1" w:space="0" w:color="000000"/>
            </w:tcBorders>
            <w:shd w:val="clear" w:color="auto" w:fill="DDDDDD"/>
          </w:tcPr>
          <w:p w:rsidR="00000000" w:rsidRDefault="003E4221">
            <w:pPr>
              <w:pStyle w:val="TableContents"/>
              <w:jc w:val="center"/>
            </w:pPr>
            <w:r>
              <w:t>Party (Host)</w:t>
            </w:r>
          </w:p>
        </w:tc>
        <w:tc>
          <w:tcPr>
            <w:tcW w:w="3521" w:type="dxa"/>
            <w:tcBorders>
              <w:top w:val="single" w:sz="1" w:space="0" w:color="000000"/>
              <w:left w:val="single" w:sz="1" w:space="0" w:color="000000"/>
              <w:bottom w:val="single" w:sz="1" w:space="0" w:color="000000"/>
              <w:right w:val="single" w:sz="1" w:space="0" w:color="000000"/>
            </w:tcBorders>
            <w:shd w:val="clear" w:color="auto" w:fill="DDDDDD"/>
          </w:tcPr>
          <w:p w:rsidR="00000000" w:rsidRDefault="003E4221">
            <w:pPr>
              <w:pStyle w:val="TableContents"/>
              <w:jc w:val="center"/>
            </w:pPr>
            <w:r>
              <w:t>Participants</w:t>
            </w:r>
          </w:p>
        </w:tc>
      </w:tr>
      <w:tr w:rsidR="00000000">
        <w:tc>
          <w:tcPr>
            <w:tcW w:w="2789" w:type="dxa"/>
            <w:tcBorders>
              <w:left w:val="single" w:sz="1" w:space="0" w:color="000000"/>
              <w:bottom w:val="single" w:sz="1" w:space="0" w:color="000000"/>
            </w:tcBorders>
            <w:shd w:val="clear" w:color="auto" w:fill="auto"/>
          </w:tcPr>
          <w:p w:rsidR="00000000" w:rsidRDefault="003E4221">
            <w:pPr>
              <w:pStyle w:val="TableContents"/>
              <w:jc w:val="center"/>
              <w:rPr>
                <w:sz w:val="20"/>
                <w:szCs w:val="20"/>
                <w:shd w:val="clear" w:color="auto" w:fill="FFFF99"/>
              </w:rPr>
            </w:pPr>
            <w:r>
              <w:rPr>
                <w:sz w:val="20"/>
                <w:szCs w:val="20"/>
              </w:rPr>
              <w:t>India</w:t>
            </w:r>
          </w:p>
        </w:tc>
        <w:tc>
          <w:tcPr>
            <w:tcW w:w="3521" w:type="dxa"/>
            <w:tcBorders>
              <w:left w:val="single" w:sz="1" w:space="0" w:color="000000"/>
              <w:bottom w:val="single" w:sz="1" w:space="0" w:color="000000"/>
              <w:right w:val="single" w:sz="1" w:space="0" w:color="000000"/>
            </w:tcBorders>
            <w:shd w:val="clear" w:color="auto" w:fill="auto"/>
          </w:tcPr>
          <w:p w:rsidR="00000000" w:rsidRDefault="00844826">
            <w:pPr>
              <w:pStyle w:val="TableContents"/>
            </w:pPr>
            <w:r>
              <w:t xml:space="preserve">IEC-TSL Ingenious Energy LLP, </w:t>
            </w:r>
            <w:r w:rsidR="007C2B6F">
              <w:t>A-103, Sagun Plaza, Vastrapur, Ahmadabad - 380015</w:t>
            </w:r>
          </w:p>
        </w:tc>
      </w:tr>
    </w:tbl>
    <w:p w:rsidR="00000000" w:rsidRDefault="003E4221">
      <w:pPr>
        <w:rPr>
          <w:b/>
          <w:bCs/>
        </w:rPr>
      </w:pPr>
    </w:p>
    <w:p w:rsidR="00000000" w:rsidRDefault="003E4221">
      <w:pPr>
        <w:rPr>
          <w:b/>
          <w:bCs/>
        </w:rPr>
      </w:pPr>
    </w:p>
    <w:p w:rsidR="00000000" w:rsidRDefault="003E4221">
      <w:pPr>
        <w:rPr>
          <w:b/>
          <w:bCs/>
        </w:rPr>
      </w:pPr>
    </w:p>
    <w:p w:rsidR="00000000" w:rsidRDefault="003E4221">
      <w:pPr>
        <w:rPr>
          <w:b/>
          <w:bCs/>
        </w:rPr>
      </w:pPr>
    </w:p>
    <w:p w:rsidR="00000000" w:rsidRDefault="003E4221">
      <w:pPr>
        <w:rPr>
          <w:b/>
          <w:bCs/>
        </w:rPr>
      </w:pPr>
    </w:p>
    <w:p w:rsidR="00000000" w:rsidRDefault="003E4221">
      <w:pPr>
        <w:rPr>
          <w:b/>
          <w:bCs/>
        </w:rPr>
      </w:pPr>
    </w:p>
    <w:p w:rsidR="00000000" w:rsidRDefault="003E4221">
      <w:pPr>
        <w:rPr>
          <w:b/>
          <w:bCs/>
        </w:rPr>
      </w:pPr>
    </w:p>
    <w:p w:rsidR="00000000" w:rsidRDefault="003E4221">
      <w:pPr>
        <w:rPr>
          <w:b/>
          <w:bCs/>
        </w:rPr>
      </w:pPr>
    </w:p>
    <w:p w:rsidR="00000000" w:rsidRDefault="003E4221">
      <w:pPr>
        <w:rPr>
          <w:b/>
          <w:bCs/>
        </w:rPr>
      </w:pPr>
    </w:p>
    <w:p w:rsidR="00000000" w:rsidRDefault="003E4221">
      <w:pPr>
        <w:shd w:val="clear" w:color="auto" w:fill="DDDDDD"/>
      </w:pPr>
      <w:r>
        <w:rPr>
          <w:b/>
          <w:bCs/>
        </w:rPr>
        <w:t>A.6.  Baseline Emissions&gt;&gt;</w:t>
      </w:r>
    </w:p>
    <w:p w:rsidR="00000000" w:rsidRDefault="00F1226C">
      <w:pPr>
        <w:jc w:val="both"/>
      </w:pPr>
      <w:r>
        <w:rPr>
          <w:noProof/>
          <w:lang w:val="en-US" w:eastAsia="en-US" w:bidi="gu-IN"/>
        </w:rPr>
        <w:lastRenderedPageBreak/>
        <w:drawing>
          <wp:anchor distT="0" distB="0" distL="0" distR="0" simplePos="0" relativeHeight="251654144" behindDoc="0" locked="0" layoutInCell="1" allowOverlap="1">
            <wp:simplePos x="0" y="0"/>
            <wp:positionH relativeFrom="column">
              <wp:align>center</wp:align>
            </wp:positionH>
            <wp:positionV relativeFrom="paragraph">
              <wp:posOffset>0</wp:posOffset>
            </wp:positionV>
            <wp:extent cx="5906135" cy="4098925"/>
            <wp:effectExtent l="1905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srcRect/>
                    <a:stretch>
                      <a:fillRect/>
                    </a:stretch>
                  </pic:blipFill>
                  <pic:spPr bwMode="auto">
                    <a:xfrm>
                      <a:off x="0" y="0"/>
                      <a:ext cx="5906135" cy="4098925"/>
                    </a:xfrm>
                    <a:prstGeom prst="rect">
                      <a:avLst/>
                    </a:prstGeom>
                    <a:solidFill>
                      <a:srgbClr val="FFFFFF"/>
                    </a:solidFill>
                    <a:ln w="9525">
                      <a:noFill/>
                      <a:miter lim="800000"/>
                      <a:headEnd/>
                      <a:tailEnd/>
                    </a:ln>
                  </pic:spPr>
                </pic:pic>
              </a:graphicData>
            </a:graphic>
          </wp:anchor>
        </w:drawing>
      </w:r>
      <w:r>
        <w:rPr>
          <w:noProof/>
          <w:lang w:val="en-US" w:eastAsia="en-US" w:bidi="gu-IN"/>
        </w:rPr>
        <w:drawing>
          <wp:anchor distT="0" distB="0" distL="0" distR="0" simplePos="0" relativeHeight="251655168" behindDoc="0" locked="0" layoutInCell="1" allowOverlap="1">
            <wp:simplePos x="0" y="0"/>
            <wp:positionH relativeFrom="column">
              <wp:posOffset>184785</wp:posOffset>
            </wp:positionH>
            <wp:positionV relativeFrom="paragraph">
              <wp:posOffset>4162425</wp:posOffset>
            </wp:positionV>
            <wp:extent cx="5748020" cy="4286250"/>
            <wp:effectExtent l="19050" t="0" r="508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srcRect/>
                    <a:stretch>
                      <a:fillRect/>
                    </a:stretch>
                  </pic:blipFill>
                  <pic:spPr bwMode="auto">
                    <a:xfrm>
                      <a:off x="0" y="0"/>
                      <a:ext cx="5748020" cy="4286250"/>
                    </a:xfrm>
                    <a:prstGeom prst="rect">
                      <a:avLst/>
                    </a:prstGeom>
                    <a:solidFill>
                      <a:srgbClr val="FFFFFF"/>
                    </a:solidFill>
                    <a:ln w="9525">
                      <a:noFill/>
                      <a:miter lim="800000"/>
                      <a:headEnd/>
                      <a:tailEnd/>
                    </a:ln>
                  </pic:spPr>
                </pic:pic>
              </a:graphicData>
            </a:graphic>
          </wp:anchor>
        </w:drawing>
      </w:r>
    </w:p>
    <w:p w:rsidR="00000000" w:rsidRDefault="003E4221">
      <w:pPr>
        <w:jc w:val="both"/>
      </w:pPr>
    </w:p>
    <w:p w:rsidR="00000000" w:rsidRDefault="003E4221">
      <w:pPr>
        <w:jc w:val="both"/>
      </w:pPr>
      <w:r>
        <w:lastRenderedPageBreak/>
        <w:t>The baseline scenario identified at the PCN stage of the project activity is:</w:t>
      </w:r>
    </w:p>
    <w:p w:rsidR="00000000" w:rsidRDefault="003E4221">
      <w:pPr>
        <w:jc w:val="both"/>
      </w:pPr>
    </w:p>
    <w:p w:rsidR="00000000" w:rsidRDefault="003E4221">
      <w:pPr>
        <w:numPr>
          <w:ilvl w:val="0"/>
          <w:numId w:val="4"/>
        </w:numPr>
        <w:jc w:val="both"/>
      </w:pPr>
      <w:r>
        <w:t>avo</w:t>
      </w:r>
      <w:r>
        <w:t xml:space="preserve">idance of methane emissions due to prevention of anaerobic decay of biomass  in waste.  </w:t>
      </w:r>
    </w:p>
    <w:p w:rsidR="00000000" w:rsidRDefault="003E4221">
      <w:pPr>
        <w:jc w:val="both"/>
      </w:pPr>
    </w:p>
    <w:p w:rsidR="00000000" w:rsidRDefault="003E4221">
      <w:pPr>
        <w:numPr>
          <w:ilvl w:val="0"/>
          <w:numId w:val="4"/>
        </w:numPr>
        <w:jc w:val="both"/>
      </w:pPr>
      <w:r>
        <w:t>displacement of electricity that would be provided to the grid by more-GHG-intensive means.</w:t>
      </w:r>
    </w:p>
    <w:p w:rsidR="00000000" w:rsidRDefault="003E4221">
      <w:pPr>
        <w:jc w:val="both"/>
      </w:pPr>
    </w:p>
    <w:p w:rsidR="00000000" w:rsidRDefault="003E4221">
      <w:pPr>
        <w:jc w:val="both"/>
      </w:pPr>
    </w:p>
    <w:p w:rsidR="00000000" w:rsidRDefault="003E4221">
      <w:pPr>
        <w:rPr>
          <w:b/>
          <w:bCs/>
        </w:rPr>
      </w:pPr>
    </w:p>
    <w:p w:rsidR="00000000" w:rsidRDefault="003E4221">
      <w:pPr>
        <w:shd w:val="clear" w:color="auto" w:fill="DDDDDD"/>
      </w:pPr>
      <w:r>
        <w:rPr>
          <w:b/>
          <w:bCs/>
        </w:rPr>
        <w:t>A.7.  Debundling&gt;&gt;</w:t>
      </w:r>
    </w:p>
    <w:p w:rsidR="00000000" w:rsidRDefault="003E4221">
      <w:pPr>
        <w:jc w:val="both"/>
      </w:pPr>
      <w:r>
        <w:t>This micro scale project is not a debundled componen</w:t>
      </w:r>
      <w:r>
        <w:t>t of a larger project activity.</w:t>
      </w:r>
    </w:p>
    <w:p w:rsidR="00000000" w:rsidRDefault="003E4221">
      <w:pPr>
        <w:jc w:val="both"/>
      </w:pPr>
    </w:p>
    <w:p w:rsidR="00000000" w:rsidRDefault="003E4221">
      <w:pPr>
        <w:pageBreakBefore/>
        <w:rPr>
          <w:shd w:val="clear" w:color="auto" w:fill="CCCCCC"/>
        </w:rPr>
      </w:pPr>
      <w:r>
        <w:rPr>
          <w:b/>
          <w:bCs/>
        </w:rPr>
        <w:lastRenderedPageBreak/>
        <w:t xml:space="preserve">SECTION B.  Application of methodologies and standardized baselines </w:t>
      </w:r>
    </w:p>
    <w:p w:rsidR="00000000" w:rsidRDefault="003E4221">
      <w:pPr>
        <w:rPr>
          <w:shd w:val="clear" w:color="auto" w:fill="CCCCCC"/>
        </w:rPr>
      </w:pPr>
    </w:p>
    <w:p w:rsidR="00000000" w:rsidRDefault="003E4221">
      <w:pPr>
        <w:shd w:val="clear" w:color="auto" w:fill="DDDDDD"/>
        <w:rPr>
          <w:shd w:val="clear" w:color="auto" w:fill="CCCCCC"/>
        </w:rPr>
      </w:pPr>
      <w:r>
        <w:rPr>
          <w:b/>
          <w:bCs/>
        </w:rPr>
        <w:t xml:space="preserve">B.1.  References to methodologies and standardized baselines &gt;&gt; </w:t>
      </w:r>
    </w:p>
    <w:p w:rsidR="00000000" w:rsidRDefault="003E4221">
      <w:pPr>
        <w:jc w:val="both"/>
        <w:rPr>
          <w:shd w:val="clear" w:color="auto" w:fill="CCCCCC"/>
        </w:rPr>
      </w:pPr>
    </w:p>
    <w:p w:rsidR="00000000" w:rsidRDefault="003E4221">
      <w:pPr>
        <w:jc w:val="both"/>
      </w:pPr>
      <w:r>
        <w:rPr>
          <w:shd w:val="clear" w:color="auto" w:fill="CCCCCC"/>
        </w:rPr>
        <w:t>SECTORAL SCOPE</w:t>
      </w:r>
      <w:r>
        <w:t xml:space="preserve"> - 01 Energy industries (Renewable/Non-renewable sources)  </w:t>
      </w:r>
    </w:p>
    <w:p w:rsidR="00000000" w:rsidRDefault="003E4221">
      <w:pPr>
        <w:jc w:val="both"/>
        <w:rPr>
          <w:shd w:val="clear" w:color="auto" w:fill="CCCCCC"/>
        </w:rPr>
      </w:pPr>
      <w:r>
        <w:tab/>
      </w:r>
      <w:r>
        <w:tab/>
      </w:r>
      <w:r>
        <w:tab/>
        <w:t xml:space="preserve">  13 Waste</w:t>
      </w:r>
      <w:r>
        <w:t xml:space="preserve"> handling and disposal </w:t>
      </w:r>
    </w:p>
    <w:p w:rsidR="00000000" w:rsidRDefault="003E4221">
      <w:pPr>
        <w:jc w:val="both"/>
        <w:rPr>
          <w:shd w:val="clear" w:color="auto" w:fill="CCCCCC"/>
        </w:rPr>
      </w:pPr>
    </w:p>
    <w:p w:rsidR="00000000" w:rsidRDefault="003E4221">
      <w:pPr>
        <w:jc w:val="both"/>
      </w:pPr>
      <w:r>
        <w:rPr>
          <w:shd w:val="clear" w:color="auto" w:fill="CCCCCC"/>
        </w:rPr>
        <w:t>TYPE I</w:t>
      </w:r>
      <w:r>
        <w:t xml:space="preserve"> - Renewable Energy Projects </w:t>
      </w:r>
    </w:p>
    <w:p w:rsidR="00000000" w:rsidRDefault="003E4221">
      <w:pPr>
        <w:jc w:val="both"/>
      </w:pPr>
    </w:p>
    <w:p w:rsidR="00000000" w:rsidRDefault="003E4221">
      <w:pPr>
        <w:jc w:val="both"/>
      </w:pPr>
      <w:r>
        <w:rPr>
          <w:shd w:val="clear" w:color="auto" w:fill="CCCCCC"/>
        </w:rPr>
        <w:t>CATEGORY</w:t>
      </w:r>
      <w:r>
        <w:t xml:space="preserve">-  </w:t>
      </w:r>
      <w:r>
        <w:rPr>
          <w:b/>
          <w:bCs/>
          <w:i/>
          <w:iCs/>
        </w:rPr>
        <w:t xml:space="preserve">AMS-I.D. Grid connected renewable electricity generation </w:t>
      </w:r>
    </w:p>
    <w:p w:rsidR="00000000" w:rsidRDefault="003E4221">
      <w:pPr>
        <w:jc w:val="both"/>
      </w:pPr>
    </w:p>
    <w:p w:rsidR="00000000" w:rsidRDefault="003E4221">
      <w:pPr>
        <w:jc w:val="both"/>
      </w:pPr>
      <w:r>
        <w:tab/>
      </w:r>
      <w:r>
        <w:tab/>
        <w:t xml:space="preserve">This category comprises renewable energy generation units, such as renewable </w:t>
      </w:r>
      <w:r>
        <w:tab/>
      </w:r>
      <w:r>
        <w:tab/>
      </w:r>
      <w:r>
        <w:tab/>
        <w:t>biomass, that supply electricity to and di</w:t>
      </w:r>
      <w:r>
        <w:t xml:space="preserve">splace electricity from an electricity </w:t>
      </w:r>
      <w:r>
        <w:tab/>
      </w:r>
      <w:r>
        <w:tab/>
      </w:r>
      <w:r>
        <w:tab/>
        <w:t xml:space="preserve">distribution system that is supplied by at least one fossil fuel fired generating unit. </w:t>
      </w:r>
    </w:p>
    <w:p w:rsidR="00000000" w:rsidRDefault="003E4221">
      <w:pPr>
        <w:jc w:val="both"/>
      </w:pPr>
    </w:p>
    <w:p w:rsidR="00000000" w:rsidRDefault="003E4221">
      <w:pPr>
        <w:jc w:val="both"/>
      </w:pPr>
      <w:r>
        <w:tab/>
      </w:r>
      <w:r>
        <w:tab/>
      </w:r>
      <w:r>
        <w:rPr>
          <w:b/>
          <w:bCs/>
          <w:i/>
          <w:iCs/>
        </w:rPr>
        <w:t xml:space="preserve">AMS-III.E . </w:t>
      </w:r>
      <w:r>
        <w:rPr>
          <w:b/>
          <w:bCs/>
          <w:i/>
          <w:iCs/>
        </w:rPr>
        <w:tab/>
        <w:t xml:space="preserve">Avoidance of methane production from decay of biomass through </w:t>
      </w:r>
      <w:r>
        <w:rPr>
          <w:b/>
          <w:bCs/>
          <w:i/>
          <w:iCs/>
        </w:rPr>
        <w:tab/>
      </w:r>
      <w:r>
        <w:rPr>
          <w:b/>
          <w:bCs/>
          <w:i/>
          <w:iCs/>
        </w:rPr>
        <w:tab/>
      </w:r>
      <w:r>
        <w:rPr>
          <w:b/>
          <w:bCs/>
          <w:i/>
          <w:iCs/>
        </w:rPr>
        <w:tab/>
      </w:r>
      <w:r>
        <w:rPr>
          <w:b/>
          <w:bCs/>
          <w:i/>
          <w:iCs/>
        </w:rPr>
        <w:tab/>
        <w:t>controlled combustion, gasification or mech</w:t>
      </w:r>
      <w:r>
        <w:rPr>
          <w:b/>
          <w:bCs/>
          <w:i/>
          <w:iCs/>
        </w:rPr>
        <w:t xml:space="preserve">anical/thermal </w:t>
      </w:r>
      <w:r>
        <w:rPr>
          <w:b/>
          <w:bCs/>
          <w:i/>
          <w:iCs/>
        </w:rPr>
        <w:tab/>
      </w:r>
      <w:r>
        <w:rPr>
          <w:b/>
          <w:bCs/>
          <w:i/>
          <w:iCs/>
        </w:rPr>
        <w:tab/>
      </w:r>
      <w:r>
        <w:rPr>
          <w:b/>
          <w:bCs/>
          <w:i/>
          <w:iCs/>
        </w:rPr>
        <w:tab/>
      </w:r>
      <w:r>
        <w:rPr>
          <w:b/>
          <w:bCs/>
          <w:i/>
          <w:iCs/>
        </w:rPr>
        <w:tab/>
      </w:r>
      <w:r>
        <w:rPr>
          <w:b/>
          <w:bCs/>
          <w:i/>
          <w:iCs/>
        </w:rPr>
        <w:tab/>
        <w:t xml:space="preserve">treatment </w:t>
      </w:r>
    </w:p>
    <w:p w:rsidR="00000000" w:rsidRDefault="003E4221">
      <w:pPr>
        <w:jc w:val="both"/>
      </w:pPr>
    </w:p>
    <w:p w:rsidR="00000000" w:rsidRDefault="003E4221">
      <w:pPr>
        <w:jc w:val="both"/>
      </w:pPr>
      <w:r>
        <w:tab/>
      </w:r>
      <w:r>
        <w:tab/>
        <w:t xml:space="preserve">Decay of the wastes that would have been let to decay or are already deposited in a </w:t>
      </w:r>
      <w:r>
        <w:tab/>
      </w:r>
      <w:r>
        <w:tab/>
        <w:t xml:space="preserve">waste disposal site is prevented through gasification to produce syngas/producer gas; </w:t>
      </w:r>
      <w:r>
        <w:tab/>
      </w:r>
      <w:r>
        <w:tab/>
        <w:t>or mechanical/thermal treatment to produce refus</w:t>
      </w:r>
      <w:r>
        <w:t xml:space="preserve">e-derived fuel (RDF) or stabilized </w:t>
      </w:r>
      <w:r>
        <w:tab/>
      </w:r>
      <w:r>
        <w:tab/>
        <w:t xml:space="preserve">biomass (SB). </w:t>
      </w:r>
    </w:p>
    <w:p w:rsidR="00000000" w:rsidRDefault="003E4221">
      <w:pPr>
        <w:jc w:val="both"/>
      </w:pPr>
    </w:p>
    <w:p w:rsidR="00000000" w:rsidRDefault="003E4221">
      <w:pPr>
        <w:jc w:val="both"/>
      </w:pPr>
    </w:p>
    <w:p w:rsidR="00000000" w:rsidRDefault="003E4221">
      <w:pPr>
        <w:shd w:val="clear" w:color="auto" w:fill="DDDDDD"/>
        <w:rPr>
          <w:shd w:val="clear" w:color="auto" w:fill="CCCCCC"/>
        </w:rPr>
      </w:pPr>
      <w:r>
        <w:rPr>
          <w:b/>
          <w:bCs/>
        </w:rPr>
        <w:t>B.2.  Applicability of methodologies and standardized baselines &gt;&gt;</w:t>
      </w:r>
    </w:p>
    <w:p w:rsidR="00000000" w:rsidRDefault="003E4221">
      <w:pPr>
        <w:rPr>
          <w:shd w:val="clear" w:color="auto" w:fill="CCCCCC"/>
        </w:rPr>
      </w:pPr>
    </w:p>
    <w:tbl>
      <w:tblPr>
        <w:tblW w:w="0" w:type="auto"/>
        <w:tblInd w:w="55" w:type="dxa"/>
        <w:tblLayout w:type="fixed"/>
        <w:tblCellMar>
          <w:top w:w="55" w:type="dxa"/>
          <w:left w:w="55" w:type="dxa"/>
          <w:bottom w:w="55" w:type="dxa"/>
          <w:right w:w="55" w:type="dxa"/>
        </w:tblCellMar>
        <w:tblLook w:val="0000"/>
      </w:tblPr>
      <w:tblGrid>
        <w:gridCol w:w="9648"/>
      </w:tblGrid>
      <w:tr w:rsidR="00000000">
        <w:tc>
          <w:tcPr>
            <w:tcW w:w="9648" w:type="dxa"/>
            <w:tcBorders>
              <w:top w:val="single" w:sz="1" w:space="0" w:color="000000"/>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Project activity involves the combustion of processed solid waste material to generate heat to produce steam for power generation. Thi</w:t>
            </w:r>
            <w:r>
              <w:rPr>
                <w:sz w:val="20"/>
                <w:szCs w:val="20"/>
              </w:rPr>
              <w:t xml:space="preserve">s does not involve recovery nor combustion of methane directly. </w:t>
            </w:r>
          </w:p>
        </w:tc>
      </w:tr>
      <w:tr w:rsidR="00000000">
        <w:tc>
          <w:tcPr>
            <w:tcW w:w="9648"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 xml:space="preserve">The produced RDF/SB was used for combustion off-site till April 2021 and then for grid power supply since that time. </w:t>
            </w:r>
          </w:p>
        </w:tc>
      </w:tr>
      <w:tr w:rsidR="00000000">
        <w:tc>
          <w:tcPr>
            <w:tcW w:w="9648"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Measures are limited to those that result in emission reductions of les</w:t>
            </w:r>
            <w:r>
              <w:rPr>
                <w:sz w:val="20"/>
                <w:szCs w:val="20"/>
              </w:rPr>
              <w:t>s than or equal to 60 kt CO2 equivalent annually under AMS III. E.</w:t>
            </w:r>
          </w:p>
        </w:tc>
      </w:tr>
      <w:tr w:rsidR="00000000">
        <w:tc>
          <w:tcPr>
            <w:tcW w:w="9648"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Prior to gasification, the thermal treatment process (dehydration) of MSW occured under controlled conditions (up to 300 Celsius) and generated a stabilized biomass that was used as fuel m</w:t>
            </w:r>
            <w:r>
              <w:rPr>
                <w:sz w:val="20"/>
                <w:szCs w:val="20"/>
              </w:rPr>
              <w:t xml:space="preserve">aterial in other off-site industrial processes. </w:t>
            </w:r>
          </w:p>
        </w:tc>
      </w:tr>
      <w:tr w:rsidR="00000000">
        <w:tc>
          <w:tcPr>
            <w:tcW w:w="9648"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Project activity involves the avoidance of methane generation from MSW landfill sites through controlled combustion of processed MSW in boiler to produce electricity. In the absence of project activity, MSW</w:t>
            </w:r>
            <w:r>
              <w:rPr>
                <w:sz w:val="20"/>
                <w:szCs w:val="20"/>
              </w:rPr>
              <w:t xml:space="preserve"> in the landfill sites would have left to decay anaerobically and led to methane generation. </w:t>
            </w:r>
          </w:p>
        </w:tc>
      </w:tr>
      <w:tr w:rsidR="00000000">
        <w:tc>
          <w:tcPr>
            <w:tcW w:w="9648"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The annual average temperature of the biogas site is located is higher than 5°C</w:t>
            </w:r>
          </w:p>
        </w:tc>
      </w:tr>
      <w:tr w:rsidR="00000000">
        <w:tc>
          <w:tcPr>
            <w:tcW w:w="9648"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 xml:space="preserve">Stabilized biomass (SB) is refuse derived  fuel (RDF) briquettes. </w:t>
            </w:r>
          </w:p>
        </w:tc>
      </w:tr>
      <w:tr w:rsidR="00000000">
        <w:tc>
          <w:tcPr>
            <w:tcW w:w="9648"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As the proje</w:t>
            </w:r>
            <w:r>
              <w:rPr>
                <w:sz w:val="20"/>
                <w:szCs w:val="20"/>
              </w:rPr>
              <w:t xml:space="preserve">ct activity involves both avoidance of methane and subsequent generation of electricity through controlled combustion and supply of power to grid, the project activity is also eligible under small scale methodology AMS I.D. </w:t>
            </w:r>
          </w:p>
        </w:tc>
      </w:tr>
      <w:tr w:rsidR="00000000">
        <w:tc>
          <w:tcPr>
            <w:tcW w:w="9648"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 xml:space="preserve">The power generation capacity </w:t>
            </w:r>
            <w:r>
              <w:rPr>
                <w:sz w:val="20"/>
                <w:szCs w:val="20"/>
              </w:rPr>
              <w:t xml:space="preserve">of the plant is less than eligible limit of 15 MW, the project is eligible under AMS I.D small scale category. The project does not co fire any fossil fuel for power generation. </w:t>
            </w:r>
          </w:p>
        </w:tc>
      </w:tr>
      <w:tr w:rsidR="00000000">
        <w:tc>
          <w:tcPr>
            <w:tcW w:w="9648"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Measures are limited to those that result in emission reductions of less tha</w:t>
            </w:r>
            <w:r>
              <w:rPr>
                <w:sz w:val="20"/>
                <w:szCs w:val="20"/>
              </w:rPr>
              <w:t xml:space="preserve">n or equal to 60 kt CO2 equivalent annually </w:t>
            </w:r>
          </w:p>
        </w:tc>
      </w:tr>
      <w:tr w:rsidR="00000000">
        <w:tc>
          <w:tcPr>
            <w:tcW w:w="9648"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 xml:space="preserve">In case of RDF/SB processing, the produced RDF/SB is not stored in such a manner as resulting in high moisture and low aeration favouring anaerobic decay </w:t>
            </w:r>
          </w:p>
        </w:tc>
      </w:tr>
    </w:tbl>
    <w:p w:rsidR="00000000" w:rsidRDefault="003E4221">
      <w:pPr>
        <w:rPr>
          <w:b/>
          <w:bCs/>
        </w:rPr>
      </w:pPr>
    </w:p>
    <w:p w:rsidR="00000000" w:rsidRDefault="003E4221">
      <w:pPr>
        <w:rPr>
          <w:b/>
          <w:bCs/>
        </w:rPr>
      </w:pPr>
    </w:p>
    <w:p w:rsidR="00000000" w:rsidRDefault="003E4221">
      <w:pPr>
        <w:rPr>
          <w:b/>
          <w:bCs/>
        </w:rPr>
      </w:pPr>
    </w:p>
    <w:p w:rsidR="00000000" w:rsidRDefault="003E4221">
      <w:pPr>
        <w:shd w:val="clear" w:color="auto" w:fill="DDDDDD"/>
      </w:pPr>
      <w:r>
        <w:rPr>
          <w:b/>
          <w:bCs/>
        </w:rPr>
        <w:lastRenderedPageBreak/>
        <w:t>B.3.  Applicability of double counting emission red</w:t>
      </w:r>
      <w:r>
        <w:rPr>
          <w:b/>
          <w:bCs/>
        </w:rPr>
        <w:t>uctions &gt;&gt;</w:t>
      </w:r>
    </w:p>
    <w:p w:rsidR="00000000" w:rsidRDefault="003E4221">
      <w:pPr>
        <w:jc w:val="both"/>
      </w:pPr>
    </w:p>
    <w:p w:rsidR="00000000" w:rsidRDefault="003E4221">
      <w:pPr>
        <w:jc w:val="both"/>
      </w:pPr>
      <w:r>
        <w:t xml:space="preserve">All the units are constructed within the project boundary. Each unit has a unique ID, which is visible. The Monitoring Report has the details of the details and unique meter reading ID. </w:t>
      </w:r>
    </w:p>
    <w:p w:rsidR="00000000" w:rsidRDefault="003E4221">
      <w:pPr>
        <w:jc w:val="both"/>
      </w:pPr>
    </w:p>
    <w:p w:rsidR="00000000" w:rsidRDefault="003E4221">
      <w:pPr>
        <w:shd w:val="clear" w:color="auto" w:fill="DDDDDD"/>
      </w:pPr>
      <w:r>
        <w:rPr>
          <w:b/>
          <w:bCs/>
        </w:rPr>
        <w:t>B.4.  Project boundary, sources and greenhouse gases (GH</w:t>
      </w:r>
      <w:r>
        <w:rPr>
          <w:b/>
          <w:bCs/>
        </w:rPr>
        <w:t xml:space="preserve">Gs)&gt;&gt; </w:t>
      </w:r>
    </w:p>
    <w:p w:rsidR="00000000" w:rsidRDefault="003E4221">
      <w:pPr>
        <w:pStyle w:val="SDMPara"/>
      </w:pPr>
      <w:r>
        <w:t xml:space="preserve">The project boundary are the physical, geographical sites: </w:t>
      </w:r>
    </w:p>
    <w:p w:rsidR="00000000" w:rsidRDefault="003E4221">
      <w:pPr>
        <w:pStyle w:val="SDMPara"/>
      </w:pPr>
      <w:r>
        <w:tab/>
        <w:t xml:space="preserve">(a) Where the solid waste </w:t>
      </w:r>
      <w:r>
        <w:t xml:space="preserve">is deposited and the avoided methane emission occurs in </w:t>
      </w:r>
      <w:r>
        <w:tab/>
        <w:t xml:space="preserve">absence of the proposed project activity; </w:t>
      </w:r>
    </w:p>
    <w:p w:rsidR="00000000" w:rsidRDefault="003E4221">
      <w:pPr>
        <w:pStyle w:val="SDMPara"/>
      </w:pPr>
      <w:r>
        <w:tab/>
        <w:t>(b) Where the treatment of biomass through controlled combus</w:t>
      </w:r>
      <w:r>
        <w:t xml:space="preserve">tion, gasification or </w:t>
      </w:r>
      <w:r>
        <w:tab/>
        <w:t xml:space="preserve">mechanical/thermal treatment takes place; </w:t>
      </w:r>
    </w:p>
    <w:p w:rsidR="00000000" w:rsidRDefault="003E4221">
      <w:pPr>
        <w:pStyle w:val="SDMPara"/>
      </w:pPr>
      <w:r>
        <w:tab/>
        <w:t xml:space="preserve">(c) Where the final residues of the combustion process will be deposited (this parcel is only </w:t>
      </w:r>
      <w:r>
        <w:tab/>
        <w:t xml:space="preserve">relevant to controlled combustion activities); </w:t>
      </w:r>
    </w:p>
    <w:p w:rsidR="00000000" w:rsidRDefault="003E4221">
      <w:pPr>
        <w:pStyle w:val="SDMSubPara1"/>
        <w:numPr>
          <w:ilvl w:val="1"/>
          <w:numId w:val="5"/>
        </w:numPr>
      </w:pPr>
      <w:r>
        <w:t>(a) All plants generating electricity at the p</w:t>
      </w:r>
      <w:r>
        <w:t xml:space="preserve">roject site, </w:t>
      </w:r>
    </w:p>
    <w:p w:rsidR="00000000" w:rsidRDefault="003E4221">
      <w:pPr>
        <w:pStyle w:val="SDMSubPara1"/>
        <w:numPr>
          <w:ilvl w:val="1"/>
          <w:numId w:val="5"/>
        </w:numPr>
        <w:rPr>
          <w:shd w:val="clear" w:color="auto" w:fill="CCCCCC"/>
        </w:rPr>
      </w:pPr>
      <w:r>
        <w:t>(b) Industrial, commercial or residential facility, or facilities, consuming energy generated by the system and the processes or equipment affected by the project activity;</w:t>
      </w:r>
    </w:p>
    <w:p w:rsidR="00000000" w:rsidRDefault="003E4221">
      <w:pPr>
        <w:pStyle w:val="SDMSubPara1"/>
        <w:numPr>
          <w:ilvl w:val="0"/>
          <w:numId w:val="0"/>
        </w:numPr>
        <w:rPr>
          <w:shd w:val="clear" w:color="auto" w:fill="CCCCCC"/>
        </w:rPr>
      </w:pPr>
    </w:p>
    <w:tbl>
      <w:tblPr>
        <w:tblW w:w="0" w:type="auto"/>
        <w:tblInd w:w="731" w:type="dxa"/>
        <w:tblLayout w:type="fixed"/>
        <w:tblCellMar>
          <w:top w:w="55" w:type="dxa"/>
          <w:left w:w="55" w:type="dxa"/>
          <w:bottom w:w="55" w:type="dxa"/>
          <w:right w:w="55" w:type="dxa"/>
        </w:tblCellMar>
        <w:tblLook w:val="0000"/>
      </w:tblPr>
      <w:tblGrid>
        <w:gridCol w:w="1244"/>
        <w:gridCol w:w="2070"/>
        <w:gridCol w:w="1065"/>
        <w:gridCol w:w="1200"/>
        <w:gridCol w:w="2831"/>
      </w:tblGrid>
      <w:tr w:rsidR="00000000">
        <w:tc>
          <w:tcPr>
            <w:tcW w:w="1244" w:type="dxa"/>
            <w:tcBorders>
              <w:top w:val="single" w:sz="1" w:space="0" w:color="000000"/>
              <w:left w:val="single" w:sz="1" w:space="0" w:color="000000"/>
              <w:bottom w:val="single" w:sz="1" w:space="0" w:color="000000"/>
            </w:tcBorders>
            <w:shd w:val="clear" w:color="auto" w:fill="auto"/>
          </w:tcPr>
          <w:p w:rsidR="00000000" w:rsidRDefault="003E4221">
            <w:pPr>
              <w:pStyle w:val="TableContents"/>
              <w:snapToGrid w:val="0"/>
            </w:pPr>
          </w:p>
        </w:tc>
        <w:tc>
          <w:tcPr>
            <w:tcW w:w="2070" w:type="dxa"/>
            <w:tcBorders>
              <w:top w:val="single" w:sz="1" w:space="0" w:color="000000"/>
              <w:left w:val="single" w:sz="1" w:space="0" w:color="000000"/>
              <w:bottom w:val="single" w:sz="1" w:space="0" w:color="000000"/>
            </w:tcBorders>
            <w:shd w:val="clear" w:color="auto" w:fill="CCCCCC"/>
            <w:vAlign w:val="center"/>
          </w:tcPr>
          <w:p w:rsidR="00000000" w:rsidRDefault="003E4221">
            <w:pPr>
              <w:pStyle w:val="TableContents"/>
              <w:jc w:val="center"/>
            </w:pPr>
            <w:r>
              <w:t xml:space="preserve">Source  </w:t>
            </w:r>
          </w:p>
        </w:tc>
        <w:tc>
          <w:tcPr>
            <w:tcW w:w="1065" w:type="dxa"/>
            <w:tcBorders>
              <w:top w:val="single" w:sz="1" w:space="0" w:color="000000"/>
              <w:left w:val="single" w:sz="1" w:space="0" w:color="000000"/>
              <w:bottom w:val="single" w:sz="1" w:space="0" w:color="000000"/>
            </w:tcBorders>
            <w:shd w:val="clear" w:color="auto" w:fill="CCCCCC"/>
            <w:vAlign w:val="center"/>
          </w:tcPr>
          <w:p w:rsidR="00000000" w:rsidRDefault="003E4221">
            <w:pPr>
              <w:pStyle w:val="TableContents"/>
              <w:jc w:val="center"/>
            </w:pPr>
            <w:r>
              <w:t xml:space="preserve">GHG </w:t>
            </w:r>
          </w:p>
        </w:tc>
        <w:tc>
          <w:tcPr>
            <w:tcW w:w="1200" w:type="dxa"/>
            <w:tcBorders>
              <w:top w:val="single" w:sz="1" w:space="0" w:color="000000"/>
              <w:left w:val="single" w:sz="1" w:space="0" w:color="000000"/>
              <w:bottom w:val="single" w:sz="1" w:space="0" w:color="000000"/>
            </w:tcBorders>
            <w:shd w:val="clear" w:color="auto" w:fill="CCCCCC"/>
            <w:vAlign w:val="center"/>
          </w:tcPr>
          <w:p w:rsidR="00000000" w:rsidRDefault="003E4221">
            <w:pPr>
              <w:pStyle w:val="TableContents"/>
              <w:jc w:val="center"/>
            </w:pPr>
            <w:r>
              <w:t>Included?</w:t>
            </w:r>
          </w:p>
        </w:tc>
        <w:tc>
          <w:tcPr>
            <w:tcW w:w="2831" w:type="dxa"/>
            <w:tcBorders>
              <w:top w:val="single" w:sz="1" w:space="0" w:color="000000"/>
              <w:left w:val="single" w:sz="1" w:space="0" w:color="000000"/>
              <w:bottom w:val="single" w:sz="1" w:space="0" w:color="000000"/>
              <w:right w:val="single" w:sz="1" w:space="0" w:color="000000"/>
            </w:tcBorders>
            <w:shd w:val="clear" w:color="auto" w:fill="CCCCCC"/>
            <w:vAlign w:val="center"/>
          </w:tcPr>
          <w:p w:rsidR="00000000" w:rsidRDefault="003E4221">
            <w:pPr>
              <w:pStyle w:val="TableContents"/>
              <w:jc w:val="center"/>
            </w:pPr>
            <w:r>
              <w:t xml:space="preserve">Justification/Explanation </w:t>
            </w:r>
          </w:p>
        </w:tc>
      </w:tr>
      <w:tr w:rsidR="00000000">
        <w:tc>
          <w:tcPr>
            <w:tcW w:w="1244" w:type="dxa"/>
            <w:vMerge w:val="restart"/>
            <w:tcBorders>
              <w:left w:val="single" w:sz="1" w:space="0" w:color="000000"/>
              <w:bottom w:val="single" w:sz="1" w:space="0" w:color="000000"/>
            </w:tcBorders>
            <w:shd w:val="clear" w:color="auto" w:fill="auto"/>
          </w:tcPr>
          <w:p w:rsidR="00000000" w:rsidRDefault="003E4221">
            <w:pPr>
              <w:pStyle w:val="TableContents"/>
              <w:snapToGrid w:val="0"/>
            </w:pPr>
          </w:p>
        </w:tc>
        <w:tc>
          <w:tcPr>
            <w:tcW w:w="2070" w:type="dxa"/>
            <w:vMerge w:val="restart"/>
            <w:tcBorders>
              <w:left w:val="single" w:sz="1" w:space="0" w:color="000000"/>
              <w:bottom w:val="single" w:sz="1" w:space="0" w:color="000000"/>
            </w:tcBorders>
            <w:shd w:val="clear" w:color="auto" w:fill="auto"/>
            <w:vAlign w:val="center"/>
          </w:tcPr>
          <w:p w:rsidR="00000000" w:rsidRDefault="003E4221">
            <w:pPr>
              <w:pStyle w:val="TableContents"/>
            </w:pPr>
            <w:r>
              <w:rPr>
                <w:sz w:val="20"/>
                <w:szCs w:val="20"/>
              </w:rPr>
              <w:t>Emissions from</w:t>
            </w:r>
            <w:r>
              <w:rPr>
                <w:sz w:val="20"/>
                <w:szCs w:val="20"/>
              </w:rPr>
              <w:t xml:space="preserve"> biomass decay</w:t>
            </w:r>
          </w:p>
          <w:p w:rsidR="00000000" w:rsidRDefault="003E4221">
            <w:pPr>
              <w:pStyle w:val="TableContents"/>
              <w:rPr>
                <w:sz w:val="20"/>
                <w:szCs w:val="20"/>
              </w:rPr>
            </w:pPr>
            <w:r>
              <w:pict>
                <v:shape id="_x0000_s1027" type="#_x0000_t202" style="position:absolute;margin-left:-52.4pt;margin-top:5pt;width:33.45pt;height:49.9pt;rotation:359;z-index:251642880" filled="f" stroked="f" strokecolor="gray">
                  <v:stroke color2="#7f7f7f" joinstyle="round"/>
                  <v:textbox style="mso-rotate-with-shape:t" inset="0,0,0,0">
                    <w:txbxContent>
                      <w:p w:rsidR="00000000" w:rsidRDefault="003E4221">
                        <w:pPr>
                          <w:rPr>
                            <w:sz w:val="18"/>
                            <w:szCs w:val="18"/>
                          </w:rPr>
                        </w:pPr>
                        <w:r>
                          <w:rPr>
                            <w:sz w:val="18"/>
                            <w:szCs w:val="18"/>
                          </w:rPr>
                          <w:t>Baseline</w:t>
                        </w:r>
                      </w:p>
                    </w:txbxContent>
                  </v:textbox>
                </v:shape>
              </w:pict>
            </w:r>
          </w:p>
          <w:p w:rsidR="00000000" w:rsidRDefault="003E4221">
            <w:pPr>
              <w:jc w:val="both"/>
              <w:rPr>
                <w:sz w:val="20"/>
                <w:szCs w:val="20"/>
              </w:rPr>
            </w:pPr>
            <w:r>
              <w:rPr>
                <w:sz w:val="20"/>
                <w:szCs w:val="20"/>
              </w:rPr>
              <w:t>Emissions from electricity generated using fossil fuels</w:t>
            </w:r>
          </w:p>
          <w:p w:rsidR="00000000" w:rsidRDefault="003E4221">
            <w:pPr>
              <w:pStyle w:val="TableContents"/>
              <w:rPr>
                <w:sz w:val="20"/>
                <w:szCs w:val="20"/>
              </w:rPr>
            </w:pPr>
            <w:r>
              <w:rPr>
                <w:sz w:val="20"/>
                <w:szCs w:val="20"/>
              </w:rPr>
              <w:t xml:space="preserve"> </w:t>
            </w:r>
          </w:p>
          <w:p w:rsidR="00000000" w:rsidRDefault="003E4221">
            <w:pPr>
              <w:pStyle w:val="TableContents"/>
              <w:rPr>
                <w:sz w:val="20"/>
                <w:szCs w:val="20"/>
              </w:rPr>
            </w:pPr>
          </w:p>
        </w:tc>
        <w:tc>
          <w:tcPr>
            <w:tcW w:w="1065" w:type="dxa"/>
            <w:tcBorders>
              <w:left w:val="single" w:sz="1" w:space="0" w:color="000000"/>
              <w:bottom w:val="single" w:sz="1" w:space="0" w:color="000000"/>
            </w:tcBorders>
            <w:shd w:val="clear" w:color="auto" w:fill="auto"/>
            <w:vAlign w:val="center"/>
          </w:tcPr>
          <w:p w:rsidR="00000000" w:rsidRDefault="003E4221">
            <w:pPr>
              <w:pStyle w:val="TableContents"/>
              <w:jc w:val="center"/>
              <w:rPr>
                <w:sz w:val="20"/>
                <w:szCs w:val="20"/>
              </w:rPr>
            </w:pPr>
            <w:r>
              <w:rPr>
                <w:sz w:val="20"/>
                <w:szCs w:val="20"/>
              </w:rPr>
              <w:t>CO</w:t>
            </w:r>
            <w:r>
              <w:rPr>
                <w:sz w:val="20"/>
                <w:szCs w:val="20"/>
                <w:vertAlign w:val="subscript"/>
              </w:rPr>
              <w:t>2</w:t>
            </w:r>
            <w:r>
              <w:rPr>
                <w:sz w:val="20"/>
                <w:szCs w:val="20"/>
              </w:rPr>
              <w:t xml:space="preserve"> </w:t>
            </w:r>
          </w:p>
        </w:tc>
        <w:tc>
          <w:tcPr>
            <w:tcW w:w="1200" w:type="dxa"/>
            <w:tcBorders>
              <w:left w:val="single" w:sz="1" w:space="0" w:color="000000"/>
              <w:bottom w:val="single" w:sz="1" w:space="0" w:color="000000"/>
            </w:tcBorders>
            <w:shd w:val="clear" w:color="auto" w:fill="auto"/>
            <w:vAlign w:val="center"/>
          </w:tcPr>
          <w:p w:rsidR="00000000" w:rsidRDefault="003E4221">
            <w:pPr>
              <w:pStyle w:val="TableContents"/>
              <w:jc w:val="center"/>
              <w:rPr>
                <w:sz w:val="20"/>
                <w:szCs w:val="20"/>
              </w:rPr>
            </w:pPr>
            <w:r>
              <w:rPr>
                <w:sz w:val="20"/>
                <w:szCs w:val="20"/>
              </w:rPr>
              <w:t>Included</w:t>
            </w:r>
          </w:p>
        </w:tc>
        <w:tc>
          <w:tcPr>
            <w:tcW w:w="2831"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 xml:space="preserve">Major source of emission </w:t>
            </w:r>
          </w:p>
        </w:tc>
      </w:tr>
      <w:tr w:rsidR="00000000">
        <w:tc>
          <w:tcPr>
            <w:tcW w:w="1244" w:type="dxa"/>
            <w:vMerge/>
            <w:tcBorders>
              <w:left w:val="single" w:sz="1" w:space="0" w:color="000000"/>
              <w:bottom w:val="single" w:sz="1" w:space="0" w:color="000000"/>
            </w:tcBorders>
            <w:shd w:val="clear" w:color="auto" w:fill="auto"/>
          </w:tcPr>
          <w:p w:rsidR="00000000" w:rsidRDefault="003E4221">
            <w:pPr>
              <w:snapToGrid w:val="0"/>
            </w:pPr>
          </w:p>
        </w:tc>
        <w:tc>
          <w:tcPr>
            <w:tcW w:w="2070" w:type="dxa"/>
            <w:vMerge/>
            <w:tcBorders>
              <w:left w:val="single" w:sz="1" w:space="0" w:color="000000"/>
              <w:bottom w:val="single" w:sz="1" w:space="0" w:color="000000"/>
            </w:tcBorders>
            <w:shd w:val="clear" w:color="auto" w:fill="auto"/>
            <w:vAlign w:val="center"/>
          </w:tcPr>
          <w:p w:rsidR="00000000" w:rsidRDefault="003E4221">
            <w:pPr>
              <w:snapToGrid w:val="0"/>
            </w:pPr>
          </w:p>
        </w:tc>
        <w:tc>
          <w:tcPr>
            <w:tcW w:w="1065" w:type="dxa"/>
            <w:tcBorders>
              <w:left w:val="single" w:sz="1" w:space="0" w:color="000000"/>
              <w:bottom w:val="single" w:sz="1" w:space="0" w:color="000000"/>
            </w:tcBorders>
            <w:shd w:val="clear" w:color="auto" w:fill="auto"/>
            <w:vAlign w:val="center"/>
          </w:tcPr>
          <w:p w:rsidR="00000000" w:rsidRDefault="003E4221">
            <w:pPr>
              <w:pStyle w:val="TableContents"/>
              <w:jc w:val="center"/>
              <w:rPr>
                <w:sz w:val="20"/>
                <w:szCs w:val="20"/>
              </w:rPr>
            </w:pPr>
            <w:r>
              <w:rPr>
                <w:sz w:val="20"/>
                <w:szCs w:val="20"/>
              </w:rPr>
              <w:t>CH</w:t>
            </w:r>
            <w:r>
              <w:rPr>
                <w:sz w:val="20"/>
                <w:szCs w:val="20"/>
                <w:vertAlign w:val="subscript"/>
              </w:rPr>
              <w:t>4</w:t>
            </w:r>
          </w:p>
        </w:tc>
        <w:tc>
          <w:tcPr>
            <w:tcW w:w="1200" w:type="dxa"/>
            <w:tcBorders>
              <w:left w:val="single" w:sz="1" w:space="0" w:color="000000"/>
              <w:bottom w:val="single" w:sz="1" w:space="0" w:color="000000"/>
            </w:tcBorders>
            <w:shd w:val="clear" w:color="auto" w:fill="auto"/>
            <w:vAlign w:val="center"/>
          </w:tcPr>
          <w:p w:rsidR="00000000" w:rsidRDefault="003E4221">
            <w:pPr>
              <w:pStyle w:val="TableContents"/>
              <w:jc w:val="center"/>
              <w:rPr>
                <w:sz w:val="20"/>
                <w:szCs w:val="20"/>
              </w:rPr>
            </w:pPr>
            <w:r>
              <w:rPr>
                <w:sz w:val="20"/>
                <w:szCs w:val="20"/>
              </w:rPr>
              <w:t>Included</w:t>
            </w:r>
          </w:p>
        </w:tc>
        <w:tc>
          <w:tcPr>
            <w:tcW w:w="2831"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 xml:space="preserve"> </w:t>
            </w:r>
            <w:r>
              <w:rPr>
                <w:sz w:val="20"/>
                <w:szCs w:val="20"/>
              </w:rPr>
              <w:t xml:space="preserve">Major source of emission </w:t>
            </w:r>
          </w:p>
        </w:tc>
      </w:tr>
      <w:tr w:rsidR="00000000">
        <w:tc>
          <w:tcPr>
            <w:tcW w:w="1244" w:type="dxa"/>
            <w:vMerge/>
            <w:tcBorders>
              <w:left w:val="single" w:sz="1" w:space="0" w:color="000000"/>
              <w:bottom w:val="single" w:sz="1" w:space="0" w:color="000000"/>
            </w:tcBorders>
            <w:shd w:val="clear" w:color="auto" w:fill="auto"/>
          </w:tcPr>
          <w:p w:rsidR="00000000" w:rsidRDefault="003E4221">
            <w:pPr>
              <w:snapToGrid w:val="0"/>
            </w:pPr>
          </w:p>
        </w:tc>
        <w:tc>
          <w:tcPr>
            <w:tcW w:w="2070" w:type="dxa"/>
            <w:vMerge/>
            <w:tcBorders>
              <w:left w:val="single" w:sz="1" w:space="0" w:color="000000"/>
              <w:bottom w:val="single" w:sz="1" w:space="0" w:color="000000"/>
            </w:tcBorders>
            <w:shd w:val="clear" w:color="auto" w:fill="auto"/>
            <w:vAlign w:val="center"/>
          </w:tcPr>
          <w:p w:rsidR="00000000" w:rsidRDefault="003E4221">
            <w:pPr>
              <w:snapToGrid w:val="0"/>
            </w:pPr>
          </w:p>
        </w:tc>
        <w:tc>
          <w:tcPr>
            <w:tcW w:w="1065" w:type="dxa"/>
            <w:tcBorders>
              <w:left w:val="single" w:sz="1" w:space="0" w:color="000000"/>
              <w:bottom w:val="single" w:sz="1" w:space="0" w:color="000000"/>
            </w:tcBorders>
            <w:shd w:val="clear" w:color="auto" w:fill="auto"/>
            <w:vAlign w:val="bottom"/>
          </w:tcPr>
          <w:p w:rsidR="00000000" w:rsidRDefault="003E4221">
            <w:pPr>
              <w:pStyle w:val="TableContents"/>
              <w:jc w:val="center"/>
              <w:rPr>
                <w:sz w:val="20"/>
                <w:szCs w:val="20"/>
              </w:rPr>
            </w:pPr>
            <w:r>
              <w:rPr>
                <w:sz w:val="20"/>
                <w:szCs w:val="20"/>
              </w:rPr>
              <w:t>N</w:t>
            </w:r>
            <w:r>
              <w:rPr>
                <w:sz w:val="20"/>
                <w:szCs w:val="20"/>
                <w:vertAlign w:val="subscript"/>
              </w:rPr>
              <w:t>2</w:t>
            </w:r>
            <w:r>
              <w:rPr>
                <w:sz w:val="20"/>
                <w:szCs w:val="20"/>
              </w:rPr>
              <w:t xml:space="preserve">O </w:t>
            </w:r>
          </w:p>
        </w:tc>
        <w:tc>
          <w:tcPr>
            <w:tcW w:w="1200" w:type="dxa"/>
            <w:tcBorders>
              <w:left w:val="single" w:sz="1" w:space="0" w:color="000000"/>
              <w:bottom w:val="single" w:sz="1" w:space="0" w:color="000000"/>
            </w:tcBorders>
            <w:shd w:val="clear" w:color="auto" w:fill="auto"/>
            <w:vAlign w:val="center"/>
          </w:tcPr>
          <w:p w:rsidR="00000000" w:rsidRDefault="003E4221">
            <w:pPr>
              <w:pStyle w:val="TableContents"/>
              <w:jc w:val="center"/>
              <w:rPr>
                <w:sz w:val="20"/>
                <w:szCs w:val="20"/>
              </w:rPr>
            </w:pPr>
            <w:r>
              <w:rPr>
                <w:sz w:val="20"/>
                <w:szCs w:val="20"/>
              </w:rPr>
              <w:t>Excluded</w:t>
            </w:r>
          </w:p>
        </w:tc>
        <w:tc>
          <w:tcPr>
            <w:tcW w:w="2831" w:type="dxa"/>
            <w:tcBorders>
              <w:left w:val="single" w:sz="1" w:space="0" w:color="000000"/>
              <w:bottom w:val="single" w:sz="1" w:space="0" w:color="000000"/>
              <w:right w:val="single" w:sz="1" w:space="0" w:color="000000"/>
            </w:tcBorders>
            <w:shd w:val="clear" w:color="auto" w:fill="auto"/>
            <w:vAlign w:val="center"/>
          </w:tcPr>
          <w:p w:rsidR="00000000" w:rsidRDefault="003E4221">
            <w:pPr>
              <w:pStyle w:val="TableContents"/>
            </w:pPr>
            <w:r>
              <w:rPr>
                <w:sz w:val="20"/>
                <w:szCs w:val="20"/>
              </w:rPr>
              <w:t xml:space="preserve">Excluded for simplification. This is conservative </w:t>
            </w:r>
          </w:p>
        </w:tc>
      </w:tr>
      <w:tr w:rsidR="00000000">
        <w:tc>
          <w:tcPr>
            <w:tcW w:w="1244" w:type="dxa"/>
            <w:vMerge w:val="restart"/>
            <w:tcBorders>
              <w:left w:val="single" w:sz="1" w:space="0" w:color="000000"/>
              <w:bottom w:val="single" w:sz="1" w:space="0" w:color="000000"/>
            </w:tcBorders>
            <w:shd w:val="clear" w:color="auto" w:fill="auto"/>
          </w:tcPr>
          <w:p w:rsidR="00000000" w:rsidRDefault="003E4221">
            <w:pPr>
              <w:pStyle w:val="TableContents"/>
              <w:snapToGrid w:val="0"/>
            </w:pPr>
          </w:p>
        </w:tc>
        <w:tc>
          <w:tcPr>
            <w:tcW w:w="2070" w:type="dxa"/>
            <w:vMerge w:val="restart"/>
            <w:tcBorders>
              <w:left w:val="single" w:sz="1" w:space="0" w:color="000000"/>
              <w:bottom w:val="single" w:sz="1" w:space="0" w:color="000000"/>
            </w:tcBorders>
            <w:shd w:val="clear" w:color="auto" w:fill="auto"/>
            <w:vAlign w:val="center"/>
          </w:tcPr>
          <w:p w:rsidR="00000000" w:rsidRDefault="003E4221">
            <w:pPr>
              <w:pStyle w:val="TableContents"/>
              <w:snapToGrid w:val="0"/>
              <w:rPr>
                <w:sz w:val="20"/>
                <w:szCs w:val="20"/>
              </w:rPr>
            </w:pPr>
            <w:r>
              <w:pict>
                <v:shape id="_x0000_s1028" type="#_x0000_t202" style="position:absolute;margin-left:-50.15pt;margin-top:3.85pt;width:36.05pt;height:46.1pt;rotation:359;z-index:251643904;mso-position-horizontal-relative:text;mso-position-vertical-relative:text" filled="f" stroked="f" strokecolor="gray">
                  <v:stroke color2="#7f7f7f" joinstyle="round"/>
                  <v:textbox style="mso-rotate-with-shape:t" inset="0,0,0,0">
                    <w:txbxContent>
                      <w:p w:rsidR="00000000" w:rsidRDefault="003E4221">
                        <w:pPr>
                          <w:rPr>
                            <w:sz w:val="20"/>
                            <w:szCs w:val="20"/>
                          </w:rPr>
                        </w:pPr>
                        <w:r>
                          <w:rPr>
                            <w:sz w:val="20"/>
                            <w:szCs w:val="20"/>
                          </w:rPr>
                          <w:t>Project Activity</w:t>
                        </w:r>
                      </w:p>
                    </w:txbxContent>
                  </v:textbox>
                </v:shape>
              </w:pict>
            </w:r>
          </w:p>
          <w:p w:rsidR="00000000" w:rsidRDefault="003E4221">
            <w:pPr>
              <w:pStyle w:val="TableContents"/>
              <w:rPr>
                <w:sz w:val="20"/>
                <w:szCs w:val="20"/>
              </w:rPr>
            </w:pPr>
          </w:p>
          <w:p w:rsidR="00000000" w:rsidRDefault="003E4221">
            <w:pPr>
              <w:pStyle w:val="TableContents"/>
              <w:rPr>
                <w:sz w:val="20"/>
                <w:szCs w:val="20"/>
              </w:rPr>
            </w:pPr>
            <w:r>
              <w:rPr>
                <w:sz w:val="20"/>
                <w:szCs w:val="20"/>
              </w:rPr>
              <w:t>Emissions from RDF trans</w:t>
            </w:r>
            <w:r>
              <w:rPr>
                <w:sz w:val="20"/>
                <w:szCs w:val="20"/>
              </w:rPr>
              <w:t>port off site</w:t>
            </w:r>
          </w:p>
        </w:tc>
        <w:tc>
          <w:tcPr>
            <w:tcW w:w="1065" w:type="dxa"/>
            <w:tcBorders>
              <w:left w:val="single" w:sz="1" w:space="0" w:color="000000"/>
              <w:bottom w:val="single" w:sz="1" w:space="0" w:color="000000"/>
            </w:tcBorders>
            <w:shd w:val="clear" w:color="auto" w:fill="auto"/>
            <w:vAlign w:val="center"/>
          </w:tcPr>
          <w:p w:rsidR="00000000" w:rsidRDefault="003E4221">
            <w:pPr>
              <w:pStyle w:val="TableContents"/>
              <w:jc w:val="center"/>
              <w:rPr>
                <w:sz w:val="20"/>
                <w:szCs w:val="20"/>
              </w:rPr>
            </w:pPr>
            <w:r>
              <w:rPr>
                <w:sz w:val="20"/>
                <w:szCs w:val="20"/>
              </w:rPr>
              <w:t>CO</w:t>
            </w:r>
            <w:r>
              <w:rPr>
                <w:sz w:val="20"/>
                <w:szCs w:val="20"/>
                <w:vertAlign w:val="subscript"/>
              </w:rPr>
              <w:t>2</w:t>
            </w:r>
            <w:r>
              <w:rPr>
                <w:sz w:val="20"/>
                <w:szCs w:val="20"/>
              </w:rPr>
              <w:t xml:space="preserve"> </w:t>
            </w:r>
          </w:p>
        </w:tc>
        <w:tc>
          <w:tcPr>
            <w:tcW w:w="1200" w:type="dxa"/>
            <w:tcBorders>
              <w:left w:val="single" w:sz="1" w:space="0" w:color="000000"/>
              <w:bottom w:val="single" w:sz="1" w:space="0" w:color="000000"/>
            </w:tcBorders>
            <w:shd w:val="clear" w:color="auto" w:fill="auto"/>
            <w:vAlign w:val="center"/>
          </w:tcPr>
          <w:p w:rsidR="00000000" w:rsidRDefault="003E4221">
            <w:pPr>
              <w:pStyle w:val="TableContents"/>
              <w:jc w:val="center"/>
              <w:rPr>
                <w:sz w:val="20"/>
                <w:szCs w:val="20"/>
              </w:rPr>
            </w:pPr>
            <w:r>
              <w:rPr>
                <w:sz w:val="20"/>
                <w:szCs w:val="20"/>
              </w:rPr>
              <w:t>Included</w:t>
            </w:r>
          </w:p>
        </w:tc>
        <w:tc>
          <w:tcPr>
            <w:tcW w:w="2831"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Minor source of emissions</w:t>
            </w:r>
          </w:p>
        </w:tc>
      </w:tr>
      <w:tr w:rsidR="00000000">
        <w:tc>
          <w:tcPr>
            <w:tcW w:w="1244" w:type="dxa"/>
            <w:vMerge/>
            <w:tcBorders>
              <w:left w:val="single" w:sz="1" w:space="0" w:color="000000"/>
              <w:bottom w:val="single" w:sz="1" w:space="0" w:color="000000"/>
            </w:tcBorders>
            <w:shd w:val="clear" w:color="auto" w:fill="auto"/>
          </w:tcPr>
          <w:p w:rsidR="00000000" w:rsidRDefault="003E4221">
            <w:pPr>
              <w:snapToGrid w:val="0"/>
            </w:pPr>
          </w:p>
        </w:tc>
        <w:tc>
          <w:tcPr>
            <w:tcW w:w="2070" w:type="dxa"/>
            <w:vMerge/>
            <w:tcBorders>
              <w:left w:val="single" w:sz="1" w:space="0" w:color="000000"/>
              <w:bottom w:val="single" w:sz="1" w:space="0" w:color="000000"/>
            </w:tcBorders>
            <w:shd w:val="clear" w:color="auto" w:fill="auto"/>
            <w:vAlign w:val="center"/>
          </w:tcPr>
          <w:p w:rsidR="00000000" w:rsidRDefault="003E4221">
            <w:pPr>
              <w:snapToGrid w:val="0"/>
            </w:pPr>
          </w:p>
        </w:tc>
        <w:tc>
          <w:tcPr>
            <w:tcW w:w="1065" w:type="dxa"/>
            <w:tcBorders>
              <w:left w:val="single" w:sz="1" w:space="0" w:color="000000"/>
              <w:bottom w:val="single" w:sz="1" w:space="0" w:color="000000"/>
            </w:tcBorders>
            <w:shd w:val="clear" w:color="auto" w:fill="auto"/>
            <w:vAlign w:val="center"/>
          </w:tcPr>
          <w:p w:rsidR="00000000" w:rsidRDefault="003E4221">
            <w:pPr>
              <w:pStyle w:val="TableContents"/>
              <w:jc w:val="center"/>
              <w:rPr>
                <w:sz w:val="20"/>
                <w:szCs w:val="20"/>
              </w:rPr>
            </w:pPr>
            <w:r>
              <w:rPr>
                <w:sz w:val="20"/>
                <w:szCs w:val="20"/>
              </w:rPr>
              <w:t>CH</w:t>
            </w:r>
            <w:r>
              <w:rPr>
                <w:sz w:val="20"/>
                <w:szCs w:val="20"/>
                <w:vertAlign w:val="subscript"/>
              </w:rPr>
              <w:t>4</w:t>
            </w:r>
          </w:p>
        </w:tc>
        <w:tc>
          <w:tcPr>
            <w:tcW w:w="1200" w:type="dxa"/>
            <w:tcBorders>
              <w:left w:val="single" w:sz="1" w:space="0" w:color="000000"/>
              <w:bottom w:val="single" w:sz="1" w:space="0" w:color="000000"/>
            </w:tcBorders>
            <w:shd w:val="clear" w:color="auto" w:fill="auto"/>
            <w:vAlign w:val="center"/>
          </w:tcPr>
          <w:p w:rsidR="00000000" w:rsidRDefault="003E4221">
            <w:pPr>
              <w:pStyle w:val="TableContents"/>
              <w:jc w:val="center"/>
              <w:rPr>
                <w:sz w:val="20"/>
                <w:szCs w:val="20"/>
              </w:rPr>
            </w:pPr>
            <w:r>
              <w:rPr>
                <w:sz w:val="20"/>
                <w:szCs w:val="20"/>
              </w:rPr>
              <w:t>Excluded</w:t>
            </w:r>
          </w:p>
        </w:tc>
        <w:tc>
          <w:tcPr>
            <w:tcW w:w="2831"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 xml:space="preserve">Excluded for simplification. This is conservative </w:t>
            </w:r>
          </w:p>
        </w:tc>
      </w:tr>
      <w:tr w:rsidR="00000000">
        <w:tc>
          <w:tcPr>
            <w:tcW w:w="1244" w:type="dxa"/>
            <w:vMerge/>
            <w:tcBorders>
              <w:left w:val="single" w:sz="1" w:space="0" w:color="000000"/>
              <w:bottom w:val="single" w:sz="1" w:space="0" w:color="000000"/>
            </w:tcBorders>
            <w:shd w:val="clear" w:color="auto" w:fill="auto"/>
          </w:tcPr>
          <w:p w:rsidR="00000000" w:rsidRDefault="003E4221">
            <w:pPr>
              <w:snapToGrid w:val="0"/>
            </w:pPr>
          </w:p>
        </w:tc>
        <w:tc>
          <w:tcPr>
            <w:tcW w:w="2070" w:type="dxa"/>
            <w:vMerge/>
            <w:tcBorders>
              <w:left w:val="single" w:sz="1" w:space="0" w:color="000000"/>
              <w:bottom w:val="single" w:sz="1" w:space="0" w:color="000000"/>
            </w:tcBorders>
            <w:shd w:val="clear" w:color="auto" w:fill="auto"/>
            <w:vAlign w:val="center"/>
          </w:tcPr>
          <w:p w:rsidR="00000000" w:rsidRDefault="003E4221">
            <w:pPr>
              <w:snapToGrid w:val="0"/>
            </w:pPr>
          </w:p>
        </w:tc>
        <w:tc>
          <w:tcPr>
            <w:tcW w:w="1065" w:type="dxa"/>
            <w:tcBorders>
              <w:left w:val="single" w:sz="1" w:space="0" w:color="000000"/>
              <w:bottom w:val="single" w:sz="1" w:space="0" w:color="000000"/>
            </w:tcBorders>
            <w:shd w:val="clear" w:color="auto" w:fill="auto"/>
            <w:vAlign w:val="center"/>
          </w:tcPr>
          <w:p w:rsidR="00000000" w:rsidRDefault="003E4221">
            <w:pPr>
              <w:pStyle w:val="TableContents"/>
              <w:jc w:val="center"/>
              <w:rPr>
                <w:sz w:val="20"/>
                <w:szCs w:val="20"/>
              </w:rPr>
            </w:pPr>
            <w:r>
              <w:rPr>
                <w:sz w:val="20"/>
                <w:szCs w:val="20"/>
              </w:rPr>
              <w:t>N</w:t>
            </w:r>
            <w:r>
              <w:rPr>
                <w:sz w:val="20"/>
                <w:szCs w:val="20"/>
                <w:vertAlign w:val="subscript"/>
              </w:rPr>
              <w:t>2</w:t>
            </w:r>
            <w:r>
              <w:rPr>
                <w:sz w:val="20"/>
                <w:szCs w:val="20"/>
              </w:rPr>
              <w:t xml:space="preserve">O </w:t>
            </w:r>
          </w:p>
        </w:tc>
        <w:tc>
          <w:tcPr>
            <w:tcW w:w="1200" w:type="dxa"/>
            <w:tcBorders>
              <w:left w:val="single" w:sz="1" w:space="0" w:color="000000"/>
              <w:bottom w:val="single" w:sz="1" w:space="0" w:color="000000"/>
            </w:tcBorders>
            <w:shd w:val="clear" w:color="auto" w:fill="auto"/>
            <w:vAlign w:val="center"/>
          </w:tcPr>
          <w:p w:rsidR="00000000" w:rsidRDefault="003E4221">
            <w:pPr>
              <w:pStyle w:val="TableContents"/>
              <w:jc w:val="center"/>
              <w:rPr>
                <w:sz w:val="20"/>
                <w:szCs w:val="20"/>
              </w:rPr>
            </w:pPr>
            <w:r>
              <w:rPr>
                <w:sz w:val="20"/>
                <w:szCs w:val="20"/>
              </w:rPr>
              <w:t>Excluded</w:t>
            </w:r>
          </w:p>
        </w:tc>
        <w:tc>
          <w:tcPr>
            <w:tcW w:w="2831"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 xml:space="preserve">Excluded for simplification. This is conservative </w:t>
            </w:r>
          </w:p>
        </w:tc>
      </w:tr>
    </w:tbl>
    <w:p w:rsidR="00000000" w:rsidRDefault="003E4221">
      <w:pPr>
        <w:jc w:val="both"/>
      </w:pPr>
    </w:p>
    <w:p w:rsidR="00000000" w:rsidRDefault="003E4221">
      <w:pPr>
        <w:jc w:val="both"/>
      </w:pPr>
      <w:r>
        <w:rPr>
          <w:b/>
          <w:bCs/>
          <w:shd w:val="clear" w:color="auto" w:fill="DDDDDD"/>
        </w:rPr>
        <w:t>Leakage:</w:t>
      </w:r>
    </w:p>
    <w:p w:rsidR="00000000" w:rsidRDefault="003E4221">
      <w:pPr>
        <w:jc w:val="both"/>
      </w:pPr>
      <w:r>
        <w:t>In case of RDF/SB production, project proponents will de</w:t>
      </w:r>
      <w:r>
        <w:t xml:space="preserve">monstrate that the produced RDF/SB is not subject to anaerobic conditions before its combustion end-use resulting in methane emissions. </w:t>
      </w:r>
    </w:p>
    <w:p w:rsidR="00000000" w:rsidRDefault="003E4221">
      <w:pPr>
        <w:jc w:val="both"/>
      </w:pPr>
    </w:p>
    <w:p w:rsidR="00000000" w:rsidRDefault="003E4221">
      <w:pPr>
        <w:jc w:val="both"/>
      </w:pPr>
      <w:r>
        <w:t xml:space="preserve">Between 2016 and April 2021, the produced RDF/SB was not used in captive facilities but sold to consumers outside the </w:t>
      </w:r>
      <w:r>
        <w:t>project boundary as a fuel, hence as a default, 5 per cent of the baseline emissions shall be deducted as leakage to account for these potential methane emissions and in efforts to be conservative in the baseline estimates.</w:t>
      </w:r>
    </w:p>
    <w:p w:rsidR="00000000" w:rsidRDefault="003E4221">
      <w:pPr>
        <w:jc w:val="both"/>
      </w:pPr>
    </w:p>
    <w:p w:rsidR="00000000" w:rsidRDefault="003E4221">
      <w:pPr>
        <w:jc w:val="both"/>
        <w:rPr>
          <w:shd w:val="clear" w:color="auto" w:fill="CCCCCC"/>
        </w:rPr>
      </w:pPr>
      <w:r>
        <w:t>The project activity recovers a</w:t>
      </w:r>
      <w:r>
        <w:t>nd utilizes methane for producing electricity and applies this methodology in addition to using a Type III component of a SSC methodology, hence any incremental emissions occurring due to the implementation of the project activity from April 2021 is neglec</w:t>
      </w:r>
      <w:r>
        <w:t xml:space="preserve">ted. </w:t>
      </w:r>
    </w:p>
    <w:p w:rsidR="00000000" w:rsidRDefault="003E4221">
      <w:pPr>
        <w:jc w:val="both"/>
        <w:rPr>
          <w:shd w:val="clear" w:color="auto" w:fill="CCCCCC"/>
        </w:rPr>
      </w:pPr>
    </w:p>
    <w:p w:rsidR="00000000" w:rsidRDefault="003E4221">
      <w:pPr>
        <w:shd w:val="clear" w:color="auto" w:fill="DDDDDD"/>
        <w:jc w:val="both"/>
      </w:pPr>
      <w:r>
        <w:rPr>
          <w:b/>
          <w:bCs/>
        </w:rPr>
        <w:lastRenderedPageBreak/>
        <w:t xml:space="preserve">B.5.  Establishment and description of baseline scenario (UCR Protocol) &gt;&gt; </w:t>
      </w:r>
    </w:p>
    <w:p w:rsidR="00000000" w:rsidRDefault="003E4221">
      <w:pPr>
        <w:jc w:val="both"/>
      </w:pPr>
    </w:p>
    <w:p w:rsidR="00000000" w:rsidRDefault="003E4221">
      <w:pPr>
        <w:jc w:val="both"/>
      </w:pPr>
      <w:r>
        <w:t>The baseline scenario is the situation where, in the absence of the project activity, organic waste matter is left to decay within the project boundary and methane is emitt</w:t>
      </w:r>
      <w:r>
        <w:t>ed to the atmosphere. The yearly baseline emissions are the amount of methane that would have been emitted from the decay of the cumulative quantity of the waste diverted or removed from the disposal site, to date, by the project activity, calculated as th</w:t>
      </w:r>
      <w:r>
        <w:t xml:space="preserve">e methane generation potential using the “Tool to determine methane emissions avoided from disposal of waste at a solid waste disposal site”. </w:t>
      </w:r>
    </w:p>
    <w:p w:rsidR="00000000" w:rsidRDefault="003E4221">
      <w:pPr>
        <w:jc w:val="both"/>
      </w:pPr>
    </w:p>
    <w:p w:rsidR="00000000" w:rsidRDefault="003E4221">
      <w:pPr>
        <w:jc w:val="both"/>
      </w:pPr>
      <w:r>
        <w:t xml:space="preserve">For renewable energy technologies that displace technologies using fossil fuels, the simplified baseline is the </w:t>
      </w:r>
      <w:r>
        <w:t xml:space="preserve">fuel consumption of the technologies that would have been used in the absence of the project activity, times an emission factor for the fossil fuel displaced. The project proponent was not bound to incur this investment as it was not mandatory by national </w:t>
      </w:r>
      <w:r>
        <w:t xml:space="preserve">and sectoral policies. Thus, the continued operation of the project activity would continue to replace fossil fuel derived grid electricity. </w:t>
      </w:r>
    </w:p>
    <w:p w:rsidR="00000000" w:rsidRDefault="003E4221">
      <w:pPr>
        <w:jc w:val="both"/>
      </w:pPr>
    </w:p>
    <w:p w:rsidR="00000000" w:rsidRDefault="003E4221">
      <w:pPr>
        <w:jc w:val="both"/>
      </w:pPr>
      <w:r>
        <w:t>In the case of project activities combusting, gasifying or mechanically/thermally treating only freshly generated</w:t>
      </w:r>
      <w:r>
        <w:t xml:space="preserve"> wastes, the baseline emissions at any year y during the crediting period is calculated using the amount and composition of wastes combusted, gasified or mechanically/thermally treated since the beginning of the project activity (year “x=1”) up to the year</w:t>
      </w:r>
      <w:r>
        <w:t xml:space="preserve"> y, using the first order decay model as referred to in the “Tool to determine methane emissions avoided from disposal of waste at a solid waste disposal site”. </w:t>
      </w:r>
    </w:p>
    <w:p w:rsidR="00000000" w:rsidRDefault="003E4221">
      <w:pPr>
        <w:jc w:val="both"/>
      </w:pPr>
    </w:p>
    <w:p w:rsidR="00000000" w:rsidRDefault="003E4221">
      <w:pPr>
        <w:jc w:val="both"/>
      </w:pPr>
      <w:r>
        <w:rPr>
          <w:b/>
          <w:bCs/>
        </w:rPr>
        <w:t>Estimated Annual Emission Reductions</w:t>
      </w:r>
      <w:r>
        <w:t xml:space="preserve">: </w:t>
      </w:r>
      <w:r>
        <w:rPr>
          <w:i/>
          <w:iCs/>
          <w:shd w:val="clear" w:color="auto" w:fill="CCCCCC"/>
        </w:rPr>
        <w:t>BE</w:t>
      </w:r>
      <w:r>
        <w:rPr>
          <w:i/>
          <w:iCs/>
          <w:shd w:val="clear" w:color="auto" w:fill="CCCCCC"/>
          <w:vertAlign w:val="subscript"/>
        </w:rPr>
        <w:t>y</w:t>
      </w:r>
      <w:r>
        <w:rPr>
          <w:i/>
          <w:iCs/>
          <w:shd w:val="clear" w:color="auto" w:fill="CCCCCC"/>
        </w:rPr>
        <w:t xml:space="preserve"> = BE</w:t>
      </w:r>
      <w:r>
        <w:rPr>
          <w:i/>
          <w:iCs/>
          <w:shd w:val="clear" w:color="auto" w:fill="CCCCCC"/>
          <w:vertAlign w:val="subscript"/>
        </w:rPr>
        <w:t>y1</w:t>
      </w:r>
      <w:r>
        <w:rPr>
          <w:i/>
          <w:iCs/>
          <w:shd w:val="clear" w:color="auto" w:fill="CCCCCC"/>
        </w:rPr>
        <w:t xml:space="preserve"> +  BE</w:t>
      </w:r>
      <w:r>
        <w:rPr>
          <w:i/>
          <w:iCs/>
          <w:shd w:val="clear" w:color="auto" w:fill="CCCCCC"/>
          <w:vertAlign w:val="subscript"/>
        </w:rPr>
        <w:t>grid</w:t>
      </w:r>
      <w:r>
        <w:rPr>
          <w:i/>
          <w:iCs/>
          <w:shd w:val="clear" w:color="auto" w:fill="CCCCCC"/>
        </w:rPr>
        <w:t>-</w:t>
      </w:r>
      <w:r>
        <w:rPr>
          <w:shd w:val="clear" w:color="auto" w:fill="CCCCCC"/>
        </w:rPr>
        <w:t>PE</w:t>
      </w:r>
      <w:r>
        <w:rPr>
          <w:i/>
          <w:iCs/>
          <w:shd w:val="clear" w:color="auto" w:fill="CCCCCC"/>
          <w:vertAlign w:val="subscript"/>
        </w:rPr>
        <w:t xml:space="preserve">y,transport </w:t>
      </w:r>
    </w:p>
    <w:p w:rsidR="00000000" w:rsidRDefault="003E4221">
      <w:pPr>
        <w:jc w:val="both"/>
      </w:pPr>
    </w:p>
    <w:p w:rsidR="00000000" w:rsidRDefault="003E4221">
      <w:pPr>
        <w:jc w:val="both"/>
        <w:rPr>
          <w:i/>
          <w:iCs/>
          <w:shd w:val="clear" w:color="auto" w:fill="DDDDDD"/>
        </w:rPr>
      </w:pPr>
      <w:r>
        <w:rPr>
          <w:i/>
          <w:iCs/>
        </w:rPr>
        <w:t>BE</w:t>
      </w:r>
      <w:r>
        <w:rPr>
          <w:i/>
          <w:iCs/>
          <w:vertAlign w:val="subscript"/>
        </w:rPr>
        <w:t>y</w:t>
      </w:r>
      <w:r>
        <w:rPr>
          <w:i/>
          <w:iCs/>
        </w:rPr>
        <w:t xml:space="preserve"> </w:t>
      </w:r>
      <w:r>
        <w:t>= Total Baseli</w:t>
      </w:r>
      <w:r>
        <w:t xml:space="preserve">ne Emissions in a year. </w:t>
      </w:r>
    </w:p>
    <w:p w:rsidR="00000000" w:rsidRDefault="003E4221">
      <w:pPr>
        <w:jc w:val="both"/>
      </w:pPr>
      <w:r>
        <w:rPr>
          <w:i/>
          <w:iCs/>
          <w:shd w:val="clear" w:color="auto" w:fill="DDDDDD"/>
        </w:rPr>
        <w:t>BE</w:t>
      </w:r>
      <w:r>
        <w:rPr>
          <w:i/>
          <w:iCs/>
          <w:shd w:val="clear" w:color="auto" w:fill="DDDDDD"/>
          <w:vertAlign w:val="subscript"/>
        </w:rPr>
        <w:t>grid</w:t>
      </w:r>
      <w:r>
        <w:rPr>
          <w:i/>
          <w:iCs/>
          <w:shd w:val="clear" w:color="auto" w:fill="DDDDDD"/>
        </w:rPr>
        <w:t xml:space="preserve"> </w:t>
      </w:r>
      <w:r>
        <w:rPr>
          <w:shd w:val="clear" w:color="auto" w:fill="DDDDDD"/>
        </w:rPr>
        <w:t>=  EG</w:t>
      </w:r>
      <w:r>
        <w:rPr>
          <w:rFonts w:ascii="Arial" w:eastAsia="Times New Roman" w:hAnsi="Arial" w:cs="Arial"/>
          <w:sz w:val="22"/>
          <w:shd w:val="clear" w:color="auto" w:fill="DDDDDD"/>
        </w:rPr>
        <w:t xml:space="preserve"> </w:t>
      </w:r>
      <w:r>
        <w:rPr>
          <w:rFonts w:ascii="Arial" w:eastAsia="Times New Roman" w:hAnsi="Arial" w:cs="Arial"/>
          <w:sz w:val="22"/>
          <w:shd w:val="clear" w:color="auto" w:fill="DDDDDD"/>
          <w:vertAlign w:val="subscript"/>
        </w:rPr>
        <w:t>y,grid</w:t>
      </w:r>
      <w:r>
        <w:rPr>
          <w:rFonts w:ascii="Arial" w:eastAsia="Times New Roman" w:hAnsi="Arial" w:cs="Arial"/>
          <w:sz w:val="22"/>
          <w:shd w:val="clear" w:color="auto" w:fill="DDDDDD"/>
        </w:rPr>
        <w:t xml:space="preserve"> x  EF </w:t>
      </w:r>
      <w:r>
        <w:rPr>
          <w:rFonts w:ascii="Arial" w:eastAsia="Times New Roman" w:hAnsi="Arial" w:cs="Arial"/>
          <w:sz w:val="22"/>
          <w:shd w:val="clear" w:color="auto" w:fill="DDDDDD"/>
          <w:vertAlign w:val="subscript"/>
        </w:rPr>
        <w:t>y,grid</w:t>
      </w:r>
    </w:p>
    <w:p w:rsidR="00000000" w:rsidRDefault="003E4221">
      <w:pPr>
        <w:jc w:val="both"/>
      </w:pPr>
    </w:p>
    <w:tbl>
      <w:tblPr>
        <w:tblW w:w="0" w:type="auto"/>
        <w:tblInd w:w="279" w:type="dxa"/>
        <w:tblLayout w:type="fixed"/>
        <w:tblLook w:val="0000"/>
      </w:tblPr>
      <w:tblGrid>
        <w:gridCol w:w="1409"/>
        <w:gridCol w:w="345"/>
        <w:gridCol w:w="6738"/>
      </w:tblGrid>
      <w:tr w:rsidR="00000000">
        <w:tc>
          <w:tcPr>
            <w:tcW w:w="1409" w:type="dxa"/>
            <w:shd w:val="clear" w:color="auto" w:fill="auto"/>
          </w:tcPr>
          <w:p w:rsidR="00000000" w:rsidRDefault="003E4221">
            <w:pPr>
              <w:jc w:val="both"/>
              <w:rPr>
                <w:rFonts w:ascii="Arial" w:eastAsia="Times New Roman" w:hAnsi="Arial" w:cs="Arial"/>
                <w:sz w:val="22"/>
              </w:rPr>
            </w:pPr>
            <w:r>
              <w:rPr>
                <w:rFonts w:ascii="Arial" w:eastAsia="Times New Roman" w:hAnsi="Arial" w:cs="Arial"/>
                <w:i/>
                <w:iCs/>
                <w:sz w:val="22"/>
              </w:rPr>
              <w:t>BE</w:t>
            </w:r>
            <w:r>
              <w:rPr>
                <w:rFonts w:ascii="Arial" w:eastAsia="Times New Roman" w:hAnsi="Arial" w:cs="Arial"/>
                <w:i/>
                <w:iCs/>
                <w:sz w:val="22"/>
                <w:vertAlign w:val="subscript"/>
              </w:rPr>
              <w:t>grid</w:t>
            </w:r>
          </w:p>
        </w:tc>
        <w:tc>
          <w:tcPr>
            <w:tcW w:w="345" w:type="dxa"/>
            <w:shd w:val="clear" w:color="auto" w:fill="auto"/>
          </w:tcPr>
          <w:p w:rsidR="00000000" w:rsidRDefault="003E4221">
            <w:pPr>
              <w:pStyle w:val="SDMTableBoxParaNotNumbered"/>
              <w:rPr>
                <w:szCs w:val="20"/>
              </w:rPr>
            </w:pPr>
            <w:r>
              <w:rPr>
                <w:rFonts w:ascii="Arial" w:eastAsia="Times New Roman" w:hAnsi="Arial" w:cs="Arial"/>
                <w:sz w:val="22"/>
              </w:rPr>
              <w:t>=</w:t>
            </w:r>
          </w:p>
        </w:tc>
        <w:tc>
          <w:tcPr>
            <w:tcW w:w="6738" w:type="dxa"/>
            <w:shd w:val="clear" w:color="auto" w:fill="auto"/>
          </w:tcPr>
          <w:p w:rsidR="00000000" w:rsidRDefault="003E4221">
            <w:pPr>
              <w:pStyle w:val="TableContents"/>
              <w:jc w:val="both"/>
            </w:pPr>
            <w:r>
              <w:rPr>
                <w:sz w:val="20"/>
                <w:szCs w:val="20"/>
              </w:rPr>
              <w:t xml:space="preserve">Baseline emissions for the grid electricity displaced by the project in year y (t CO2e) </w:t>
            </w:r>
          </w:p>
        </w:tc>
      </w:tr>
      <w:tr w:rsidR="00000000">
        <w:tc>
          <w:tcPr>
            <w:tcW w:w="1409" w:type="dxa"/>
            <w:shd w:val="clear" w:color="auto" w:fill="auto"/>
          </w:tcPr>
          <w:p w:rsidR="00000000" w:rsidRDefault="003E4221">
            <w:pPr>
              <w:pStyle w:val="SDMTableBoxParaNotNumbered"/>
              <w:rPr>
                <w:rFonts w:ascii="Arial" w:eastAsia="Times New Roman" w:hAnsi="Arial" w:cs="Arial"/>
                <w:sz w:val="22"/>
              </w:rPr>
            </w:pPr>
            <w:r>
              <w:t>EG</w:t>
            </w:r>
            <w:r>
              <w:rPr>
                <w:rFonts w:ascii="Arial" w:eastAsia="Times New Roman" w:hAnsi="Arial" w:cs="Arial"/>
                <w:sz w:val="22"/>
              </w:rPr>
              <w:t xml:space="preserve"> </w:t>
            </w:r>
            <w:r>
              <w:rPr>
                <w:rFonts w:ascii="Arial" w:eastAsia="Times New Roman" w:hAnsi="Arial" w:cs="Arial"/>
                <w:sz w:val="22"/>
                <w:vertAlign w:val="subscript"/>
              </w:rPr>
              <w:t>y,grid</w:t>
            </w:r>
          </w:p>
        </w:tc>
        <w:tc>
          <w:tcPr>
            <w:tcW w:w="345" w:type="dxa"/>
            <w:shd w:val="clear" w:color="auto" w:fill="auto"/>
          </w:tcPr>
          <w:p w:rsidR="00000000" w:rsidRDefault="003E4221">
            <w:pPr>
              <w:pStyle w:val="SDMTableBoxParaNotNumbered"/>
              <w:rPr>
                <w:szCs w:val="20"/>
              </w:rPr>
            </w:pPr>
            <w:r>
              <w:rPr>
                <w:rFonts w:ascii="Arial" w:eastAsia="Times New Roman" w:hAnsi="Arial" w:cs="Arial"/>
                <w:sz w:val="22"/>
              </w:rPr>
              <w:t>=</w:t>
            </w:r>
          </w:p>
        </w:tc>
        <w:tc>
          <w:tcPr>
            <w:tcW w:w="6738" w:type="dxa"/>
            <w:shd w:val="clear" w:color="auto" w:fill="auto"/>
          </w:tcPr>
          <w:p w:rsidR="00000000" w:rsidRDefault="003E4221">
            <w:pPr>
              <w:pStyle w:val="TableContents"/>
              <w:jc w:val="both"/>
            </w:pPr>
            <w:r>
              <w:rPr>
                <w:sz w:val="20"/>
                <w:szCs w:val="20"/>
              </w:rPr>
              <w:t xml:space="preserve">Amount of grid electricity displaced by project in year y (MWh) </w:t>
            </w:r>
          </w:p>
        </w:tc>
      </w:tr>
      <w:tr w:rsidR="00000000">
        <w:tc>
          <w:tcPr>
            <w:tcW w:w="1409" w:type="dxa"/>
            <w:shd w:val="clear" w:color="auto" w:fill="auto"/>
          </w:tcPr>
          <w:p w:rsidR="00000000" w:rsidRDefault="003E4221">
            <w:pPr>
              <w:pStyle w:val="SDMTableBoxParaNotNumbered"/>
              <w:rPr>
                <w:rFonts w:ascii="Arial" w:eastAsia="Times New Roman" w:hAnsi="Arial" w:cs="Arial"/>
                <w:sz w:val="22"/>
              </w:rPr>
            </w:pPr>
            <w:r>
              <w:rPr>
                <w:rFonts w:ascii="Arial" w:eastAsia="Times New Roman" w:hAnsi="Arial" w:cs="Arial"/>
                <w:sz w:val="22"/>
              </w:rPr>
              <w:t xml:space="preserve">EF </w:t>
            </w:r>
            <w:r>
              <w:rPr>
                <w:rFonts w:ascii="Arial" w:eastAsia="Times New Roman" w:hAnsi="Arial" w:cs="Arial"/>
                <w:sz w:val="22"/>
                <w:vertAlign w:val="subscript"/>
              </w:rPr>
              <w:t>y,grid</w:t>
            </w:r>
          </w:p>
        </w:tc>
        <w:tc>
          <w:tcPr>
            <w:tcW w:w="345" w:type="dxa"/>
            <w:shd w:val="clear" w:color="auto" w:fill="auto"/>
          </w:tcPr>
          <w:p w:rsidR="00000000" w:rsidRDefault="003E4221">
            <w:pPr>
              <w:pStyle w:val="SDMTableBoxParaNotNumbered"/>
              <w:rPr>
                <w:szCs w:val="20"/>
              </w:rPr>
            </w:pPr>
            <w:r>
              <w:rPr>
                <w:rFonts w:ascii="Arial" w:eastAsia="Times New Roman" w:hAnsi="Arial" w:cs="Arial"/>
                <w:sz w:val="22"/>
              </w:rPr>
              <w:t>=</w:t>
            </w:r>
          </w:p>
        </w:tc>
        <w:tc>
          <w:tcPr>
            <w:tcW w:w="6738" w:type="dxa"/>
            <w:shd w:val="clear" w:color="auto" w:fill="auto"/>
          </w:tcPr>
          <w:p w:rsidR="00000000" w:rsidRDefault="003E4221">
            <w:pPr>
              <w:pStyle w:val="TableContents"/>
              <w:jc w:val="both"/>
            </w:pPr>
            <w:r>
              <w:rPr>
                <w:sz w:val="20"/>
                <w:szCs w:val="20"/>
              </w:rPr>
              <w:t>Emission</w:t>
            </w:r>
            <w:r>
              <w:rPr>
                <w:sz w:val="20"/>
                <w:szCs w:val="20"/>
              </w:rPr>
              <w:t xml:space="preserve"> factor of the grid (t CO2e/MWh)  = 0.9 (UCR Standard)</w:t>
            </w:r>
          </w:p>
        </w:tc>
      </w:tr>
    </w:tbl>
    <w:p w:rsidR="00000000" w:rsidRDefault="003E4221">
      <w:pPr>
        <w:jc w:val="both"/>
      </w:pPr>
    </w:p>
    <w:p w:rsidR="00000000" w:rsidRDefault="003E4221">
      <w:pPr>
        <w:jc w:val="both"/>
      </w:pPr>
      <w:r>
        <w:rPr>
          <w:i/>
          <w:iCs/>
          <w:shd w:val="clear" w:color="auto" w:fill="CCCCCC"/>
        </w:rPr>
        <w:t>BE</w:t>
      </w:r>
      <w:r>
        <w:rPr>
          <w:i/>
          <w:iCs/>
          <w:shd w:val="clear" w:color="auto" w:fill="CCCCCC"/>
          <w:vertAlign w:val="subscript"/>
        </w:rPr>
        <w:t>y1</w:t>
      </w:r>
      <w:r>
        <w:rPr>
          <w:shd w:val="clear" w:color="auto" w:fill="CCCCCC"/>
        </w:rPr>
        <w:t xml:space="preserve">= </w:t>
      </w:r>
      <w:r>
        <w:t xml:space="preserve">Yearly Methane Generation Potential of the wastes diverted to be disposed in the landfill from the beginning of the project (x=1) up to the year y </w:t>
      </w:r>
    </w:p>
    <w:p w:rsidR="00000000" w:rsidRDefault="003E4221">
      <w:pPr>
        <w:jc w:val="both"/>
      </w:pPr>
    </w:p>
    <w:p w:rsidR="00000000" w:rsidRDefault="003E4221">
      <w:pPr>
        <w:jc w:val="both"/>
      </w:pPr>
      <w:r>
        <w:rPr>
          <w:i/>
          <w:iCs/>
          <w:shd w:val="clear" w:color="auto" w:fill="CCCCCC"/>
        </w:rPr>
        <w:t>Be</w:t>
      </w:r>
      <w:r>
        <w:rPr>
          <w:i/>
          <w:iCs/>
          <w:shd w:val="clear" w:color="auto" w:fill="CCCCCC"/>
          <w:vertAlign w:val="subscript"/>
        </w:rPr>
        <w:t xml:space="preserve">y1 </w:t>
      </w:r>
      <w:r>
        <w:rPr>
          <w:i/>
          <w:iCs/>
          <w:shd w:val="clear" w:color="auto" w:fill="CCCCCC"/>
        </w:rPr>
        <w:t>=</w:t>
      </w:r>
      <w:r>
        <w:rPr>
          <w:i/>
          <w:iCs/>
          <w:shd w:val="clear" w:color="auto" w:fill="CCCCCC"/>
          <w:vertAlign w:val="subscript"/>
        </w:rPr>
        <w:t xml:space="preserve"> </w:t>
      </w:r>
      <w:r>
        <w:rPr>
          <w:i/>
          <w:iCs/>
          <w:shd w:val="clear" w:color="auto" w:fill="CCCCCC"/>
        </w:rPr>
        <w:t xml:space="preserve">MB,y * GWP_CH4 </w:t>
      </w:r>
    </w:p>
    <w:p w:rsidR="00000000" w:rsidRDefault="00F1226C">
      <w:pPr>
        <w:jc w:val="both"/>
      </w:pPr>
      <w:r>
        <w:rPr>
          <w:noProof/>
          <w:lang w:val="en-US" w:eastAsia="en-US" w:bidi="gu-IN"/>
        </w:rPr>
        <w:drawing>
          <wp:anchor distT="0" distB="0" distL="0" distR="0" simplePos="0" relativeHeight="251671552" behindDoc="0" locked="0" layoutInCell="1" allowOverlap="1">
            <wp:simplePos x="0" y="0"/>
            <wp:positionH relativeFrom="column">
              <wp:posOffset>974090</wp:posOffset>
            </wp:positionH>
            <wp:positionV relativeFrom="paragraph">
              <wp:posOffset>110490</wp:posOffset>
            </wp:positionV>
            <wp:extent cx="4834255" cy="2200910"/>
            <wp:effectExtent l="19050" t="0" r="4445" b="0"/>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
                    <a:srcRect/>
                    <a:stretch>
                      <a:fillRect/>
                    </a:stretch>
                  </pic:blipFill>
                  <pic:spPr bwMode="auto">
                    <a:xfrm>
                      <a:off x="0" y="0"/>
                      <a:ext cx="4834255" cy="2200910"/>
                    </a:xfrm>
                    <a:prstGeom prst="rect">
                      <a:avLst/>
                    </a:prstGeom>
                    <a:solidFill>
                      <a:srgbClr val="FFFFFF"/>
                    </a:solidFill>
                    <a:ln w="9525">
                      <a:noFill/>
                      <a:miter lim="800000"/>
                      <a:headEnd/>
                      <a:tailEnd/>
                    </a:ln>
                  </pic:spPr>
                </pic:pic>
              </a:graphicData>
            </a:graphic>
          </wp:anchor>
        </w:drawing>
      </w:r>
    </w:p>
    <w:p w:rsidR="00000000" w:rsidRDefault="003E4221">
      <w:pPr>
        <w:jc w:val="both"/>
      </w:pPr>
    </w:p>
    <w:p w:rsidR="00000000" w:rsidRDefault="003E4221">
      <w:pPr>
        <w:jc w:val="both"/>
      </w:pPr>
    </w:p>
    <w:tbl>
      <w:tblPr>
        <w:tblW w:w="0" w:type="auto"/>
        <w:tblInd w:w="616" w:type="dxa"/>
        <w:tblLayout w:type="fixed"/>
        <w:tblCellMar>
          <w:top w:w="55" w:type="dxa"/>
          <w:left w:w="55" w:type="dxa"/>
          <w:bottom w:w="55" w:type="dxa"/>
          <w:right w:w="55" w:type="dxa"/>
        </w:tblCellMar>
        <w:tblLook w:val="0000"/>
      </w:tblPr>
      <w:tblGrid>
        <w:gridCol w:w="1289"/>
        <w:gridCol w:w="450"/>
        <w:gridCol w:w="6361"/>
      </w:tblGrid>
      <w:tr w:rsidR="00000000">
        <w:tc>
          <w:tcPr>
            <w:tcW w:w="1289" w:type="dxa"/>
            <w:shd w:val="clear" w:color="auto" w:fill="auto"/>
          </w:tcPr>
          <w:p w:rsidR="00000000" w:rsidRDefault="003E4221">
            <w:pPr>
              <w:jc w:val="both"/>
            </w:pPr>
            <w:r>
              <w:t>GWP</w:t>
            </w:r>
            <w:r>
              <w:rPr>
                <w:vertAlign w:val="subscript"/>
              </w:rPr>
              <w:t>CH4</w:t>
            </w:r>
          </w:p>
        </w:tc>
        <w:tc>
          <w:tcPr>
            <w:tcW w:w="450" w:type="dxa"/>
            <w:shd w:val="clear" w:color="auto" w:fill="auto"/>
          </w:tcPr>
          <w:p w:rsidR="00000000" w:rsidRDefault="003E4221">
            <w:pPr>
              <w:jc w:val="both"/>
              <w:rPr>
                <w:sz w:val="20"/>
                <w:szCs w:val="20"/>
              </w:rPr>
            </w:pPr>
            <w:r>
              <w:t>=</w:t>
            </w:r>
          </w:p>
        </w:tc>
        <w:tc>
          <w:tcPr>
            <w:tcW w:w="6361" w:type="dxa"/>
            <w:shd w:val="clear" w:color="auto" w:fill="auto"/>
          </w:tcPr>
          <w:p w:rsidR="00000000" w:rsidRDefault="003E4221">
            <w:pPr>
              <w:jc w:val="both"/>
            </w:pPr>
            <w:r>
              <w:rPr>
                <w:sz w:val="20"/>
                <w:szCs w:val="20"/>
              </w:rPr>
              <w:t>21 is th</w:t>
            </w:r>
            <w:r>
              <w:rPr>
                <w:sz w:val="20"/>
                <w:szCs w:val="20"/>
              </w:rPr>
              <w:t>e default IPCC value of CH</w:t>
            </w:r>
            <w:r>
              <w:rPr>
                <w:sz w:val="20"/>
                <w:szCs w:val="20"/>
                <w:vertAlign w:val="subscript"/>
              </w:rPr>
              <w:t>4</w:t>
            </w:r>
            <w:r>
              <w:rPr>
                <w:sz w:val="20"/>
                <w:szCs w:val="20"/>
              </w:rPr>
              <w:t xml:space="preserve"> applicable to the crediting period (tCO</w:t>
            </w:r>
            <w:r>
              <w:rPr>
                <w:sz w:val="20"/>
                <w:szCs w:val="20"/>
                <w:vertAlign w:val="subscript"/>
              </w:rPr>
              <w:t>2e</w:t>
            </w:r>
            <w:r>
              <w:rPr>
                <w:sz w:val="20"/>
                <w:szCs w:val="20"/>
              </w:rPr>
              <w:t>/t CH</w:t>
            </w:r>
            <w:r>
              <w:rPr>
                <w:sz w:val="20"/>
                <w:szCs w:val="20"/>
                <w:vertAlign w:val="subscript"/>
              </w:rPr>
              <w:t>4</w:t>
            </w:r>
            <w:r>
              <w:rPr>
                <w:sz w:val="20"/>
                <w:szCs w:val="20"/>
              </w:rPr>
              <w:t>)</w:t>
            </w:r>
          </w:p>
        </w:tc>
      </w:tr>
      <w:tr w:rsidR="00000000">
        <w:tc>
          <w:tcPr>
            <w:tcW w:w="1289" w:type="dxa"/>
            <w:shd w:val="clear" w:color="auto" w:fill="auto"/>
          </w:tcPr>
          <w:p w:rsidR="00000000" w:rsidRDefault="003E4221">
            <w:pPr>
              <w:jc w:val="both"/>
            </w:pPr>
            <w:r>
              <w:t>MCF</w:t>
            </w:r>
          </w:p>
        </w:tc>
        <w:tc>
          <w:tcPr>
            <w:tcW w:w="450" w:type="dxa"/>
            <w:shd w:val="clear" w:color="auto" w:fill="auto"/>
          </w:tcPr>
          <w:p w:rsidR="00000000" w:rsidRDefault="003E4221">
            <w:pPr>
              <w:jc w:val="both"/>
              <w:rPr>
                <w:sz w:val="20"/>
                <w:szCs w:val="20"/>
              </w:rPr>
            </w:pPr>
            <w:r>
              <w:t>=</w:t>
            </w:r>
          </w:p>
        </w:tc>
        <w:tc>
          <w:tcPr>
            <w:tcW w:w="6361" w:type="dxa"/>
            <w:shd w:val="clear" w:color="auto" w:fill="auto"/>
          </w:tcPr>
          <w:p w:rsidR="00000000" w:rsidRDefault="003E4221">
            <w:pPr>
              <w:jc w:val="both"/>
            </w:pPr>
            <w:r>
              <w:rPr>
                <w:sz w:val="20"/>
                <w:szCs w:val="20"/>
              </w:rPr>
              <w:t>0.8 For projects utilising MSW, when calculating BE</w:t>
            </w:r>
            <w:r>
              <w:rPr>
                <w:vertAlign w:val="subscript"/>
              </w:rPr>
              <w:t>CH4,SWDS,y,</w:t>
            </w:r>
            <w:r>
              <w:t xml:space="preserve"> . </w:t>
            </w:r>
            <w:r>
              <w:rPr>
                <w:sz w:val="20"/>
                <w:szCs w:val="20"/>
              </w:rPr>
              <w:t>Deep landfill (&gt;5m) is most likely the technology for disposing MSW in the scenario of constrained availabi</w:t>
            </w:r>
            <w:r>
              <w:rPr>
                <w:sz w:val="20"/>
                <w:szCs w:val="20"/>
              </w:rPr>
              <w:t xml:space="preserve">lity of area/space within or close to urban areas and where waste scavenging does not occur. And it is also the least cost alternative for providing comparable level of service to the project technology for treating the waste i.e. composting in this case. </w:t>
            </w:r>
            <w:r>
              <w:rPr>
                <w:sz w:val="20"/>
                <w:szCs w:val="20"/>
              </w:rPr>
              <w:t xml:space="preserve">MCF value is chosen from the definition provided in 2006 IPCC Guideline applicable to unmanaged deep landfills that do not have controlled placement of waste (i.e. waste directed to specific deposition areas, a degree of control of scavenging and a degree </w:t>
            </w:r>
            <w:r>
              <w:rPr>
                <w:sz w:val="20"/>
                <w:szCs w:val="20"/>
              </w:rPr>
              <w:t xml:space="preserve">of control of fires) and do not include any cover material, mechanical compacting and levelling of the waste </w:t>
            </w:r>
          </w:p>
        </w:tc>
      </w:tr>
    </w:tbl>
    <w:p w:rsidR="00000000" w:rsidRDefault="003E4221">
      <w:pPr>
        <w:jc w:val="both"/>
      </w:pPr>
    </w:p>
    <w:p w:rsidR="00000000" w:rsidRDefault="003E4221">
      <w:pPr>
        <w:jc w:val="both"/>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6" type="#_x0000_t75" style="position:absolute;left:0;text-align:left;margin-left:0;margin-top:0;width:331.65pt;height:107pt;z-index:251672576;mso-wrap-distance-left:0;mso-wrap-distance-right:0;mso-position-horizontal:center" filled="t">
            <v:fill color2="black"/>
            <v:imagedata r:id="rId34" o:title=""/>
            <w10:wrap type="topAndBottom"/>
          </v:shape>
          <o:OLEObject Type="Embed" ProgID="opendocument.CalcDocument.1" ShapeID="_x0000_s1056" DrawAspect="Content" ObjectID="_1696504307" r:id="rId35"/>
        </w:pict>
      </w:r>
    </w:p>
    <w:p w:rsidR="00000000" w:rsidRDefault="003E4221">
      <w:pPr>
        <w:jc w:val="both"/>
        <w:rPr>
          <w:sz w:val="20"/>
          <w:szCs w:val="20"/>
        </w:rPr>
      </w:pPr>
    </w:p>
    <w:p w:rsidR="00000000" w:rsidRDefault="003E4221">
      <w:pPr>
        <w:jc w:val="both"/>
      </w:pPr>
      <w:r>
        <w:rPr>
          <w:b/>
          <w:bCs/>
          <w:shd w:val="clear" w:color="auto" w:fill="CCCCCC"/>
        </w:rPr>
        <w:t xml:space="preserve">Project Emissions </w:t>
      </w:r>
    </w:p>
    <w:p w:rsidR="00000000" w:rsidRDefault="003E4221">
      <w:pPr>
        <w:jc w:val="both"/>
      </w:pPr>
    </w:p>
    <w:p w:rsidR="00000000" w:rsidRDefault="006870D7">
      <w:pPr>
        <w:jc w:val="both"/>
      </w:pPr>
      <w:r>
        <w:rPr>
          <w:b/>
          <w:bCs/>
        </w:rPr>
        <w:t>Project emissions</w:t>
      </w:r>
      <w:r w:rsidR="003E4221">
        <w:rPr>
          <w:b/>
          <w:bCs/>
        </w:rPr>
        <w:t xml:space="preserve"> consist of:</w:t>
      </w:r>
      <w:r w:rsidR="003E4221">
        <w:t xml:space="preserve"> </w:t>
      </w:r>
    </w:p>
    <w:p w:rsidR="00000000" w:rsidRDefault="003E4221">
      <w:pPr>
        <w:jc w:val="both"/>
      </w:pPr>
      <w:r>
        <w:tab/>
        <w:t xml:space="preserve">Project Emissions due to burning of plastics (non – biomass fuels) &amp; auxiliary fuels </w:t>
      </w:r>
      <w:r>
        <w:tab/>
        <w:t>fo</w:t>
      </w:r>
      <w:r>
        <w:t xml:space="preserve">ssil fuels used in the combustion, gasification or mechanical/thermal treatment facility is </w:t>
      </w:r>
      <w:r>
        <w:tab/>
        <w:t>negligible and not estimated.</w:t>
      </w:r>
    </w:p>
    <w:p w:rsidR="00000000" w:rsidRDefault="003E4221">
      <w:pPr>
        <w:jc w:val="both"/>
      </w:pPr>
      <w:r>
        <w:t xml:space="preserve"> </w:t>
      </w:r>
    </w:p>
    <w:p w:rsidR="00000000" w:rsidRDefault="003E4221">
      <w:pPr>
        <w:jc w:val="both"/>
      </w:pPr>
      <w:r>
        <w:tab/>
        <w:t>Incremental CO</w:t>
      </w:r>
      <w:r>
        <w:rPr>
          <w:vertAlign w:val="subscript"/>
        </w:rPr>
        <w:t xml:space="preserve">2 </w:t>
      </w:r>
      <w:r>
        <w:t xml:space="preserve">emissions due to: </w:t>
      </w:r>
    </w:p>
    <w:p w:rsidR="00000000" w:rsidRDefault="003E4221">
      <w:pPr>
        <w:jc w:val="both"/>
      </w:pPr>
    </w:p>
    <w:p w:rsidR="00000000" w:rsidRDefault="003E4221">
      <w:pPr>
        <w:numPr>
          <w:ilvl w:val="4"/>
          <w:numId w:val="6"/>
        </w:numPr>
        <w:jc w:val="both"/>
        <w:rPr>
          <w:sz w:val="20"/>
          <w:szCs w:val="20"/>
        </w:rPr>
      </w:pPr>
      <w:r>
        <w:t>Between 2016-April 2021: Transportation of RDF/SB to the sites of the end users (since outside</w:t>
      </w:r>
      <w:r>
        <w:t xml:space="preserve"> sites are unknown a conservative approach assuming transport emissions for a specific distance, for example a default of 250 km, shall be used as per the AMS methodology); </w:t>
      </w:r>
    </w:p>
    <w:p w:rsidR="00000000" w:rsidRDefault="003E4221">
      <w:pPr>
        <w:jc w:val="both"/>
        <w:rPr>
          <w:sz w:val="20"/>
          <w:szCs w:val="20"/>
        </w:rPr>
      </w:pPr>
    </w:p>
    <w:p w:rsidR="00000000" w:rsidRDefault="003E4221">
      <w:r>
        <w:t>PE</w:t>
      </w:r>
      <w:r>
        <w:rPr>
          <w:vertAlign w:val="subscript"/>
        </w:rPr>
        <w:t xml:space="preserve">y,transport </w:t>
      </w:r>
      <w:r>
        <w:t>=  Emissions due to the transport of RDF from processing plant to c</w:t>
      </w:r>
      <w:r>
        <w:t xml:space="preserve">ustomers outside </w:t>
      </w:r>
      <w:r>
        <w:tab/>
      </w:r>
      <w:r>
        <w:tab/>
        <w:t xml:space="preserve">       facility </w:t>
      </w:r>
    </w:p>
    <w:p w:rsidR="00000000" w:rsidRDefault="003E4221">
      <w:pPr>
        <w:jc w:val="both"/>
        <w:rPr>
          <w:sz w:val="20"/>
          <w:szCs w:val="20"/>
        </w:rPr>
      </w:pPr>
      <w:r>
        <w:pict>
          <v:shape id="_x0000_s1057" type="#_x0000_t75" style="position:absolute;left:0;text-align:left;margin-left:105.2pt;margin-top:4pt;width:300.4pt;height:89.8pt;z-index:251673600;mso-wrap-distance-left:0;mso-wrap-distance-right:0" filled="t">
            <v:fill color2="black"/>
            <v:imagedata r:id="rId36" o:title=""/>
            <w10:wrap type="topAndBottom"/>
          </v:shape>
          <o:OLEObject Type="Embed" ProgID="opendocument.CalcDocument.1" ShapeID="_x0000_s1057" DrawAspect="Content" ObjectID="_1696504308" r:id="rId37"/>
        </w:pict>
      </w:r>
    </w:p>
    <w:p w:rsidR="00000000" w:rsidRDefault="003E4221">
      <w:pPr>
        <w:jc w:val="both"/>
        <w:rPr>
          <w:sz w:val="20"/>
          <w:szCs w:val="20"/>
        </w:rPr>
      </w:pPr>
    </w:p>
    <w:p w:rsidR="00000000" w:rsidRDefault="003E4221">
      <w:pPr>
        <w:jc w:val="both"/>
        <w:rPr>
          <w:sz w:val="20"/>
          <w:szCs w:val="20"/>
        </w:rPr>
      </w:pPr>
    </w:p>
    <w:p w:rsidR="00000000" w:rsidRDefault="003E4221">
      <w:pPr>
        <w:jc w:val="both"/>
        <w:rPr>
          <w:sz w:val="20"/>
          <w:szCs w:val="20"/>
        </w:rPr>
      </w:pPr>
    </w:p>
    <w:p w:rsidR="00000000" w:rsidRDefault="003E4221">
      <w:pPr>
        <w:jc w:val="both"/>
        <w:rPr>
          <w:sz w:val="20"/>
          <w:szCs w:val="20"/>
        </w:rPr>
      </w:pPr>
      <w:r>
        <w:rPr>
          <w:i/>
          <w:iCs/>
        </w:rPr>
        <w:lastRenderedPageBreak/>
        <w:t>*Estimate of total. During verification, a deduction of 5 per cent of the baseline emissions shall be taken into account as to include leakage project emissions for potential methane emissions during the transport o</w:t>
      </w:r>
      <w:r>
        <w:rPr>
          <w:i/>
          <w:iCs/>
        </w:rPr>
        <w:t xml:space="preserve">f the RDF offsite between 2016 and 2020 and in efforts to be conservative in the baseline estimates, unless during verification the project proponent can showcase to the UCR auditor that potential risks of methane emissions from RDF/SB are avoided through </w:t>
      </w:r>
      <w:r>
        <w:rPr>
          <w:i/>
          <w:iCs/>
        </w:rPr>
        <w:t>measures such as appropriate packaging or, by showing that monitored moisture content of the RDF/SB is under 12 per cent.</w:t>
      </w:r>
    </w:p>
    <w:p w:rsidR="00000000" w:rsidRDefault="003E4221">
      <w:pPr>
        <w:jc w:val="both"/>
        <w:rPr>
          <w:sz w:val="20"/>
          <w:szCs w:val="20"/>
        </w:rPr>
      </w:pPr>
    </w:p>
    <w:p w:rsidR="00000000" w:rsidRDefault="003E4221">
      <w:pPr>
        <w:jc w:val="both"/>
        <w:rPr>
          <w:sz w:val="20"/>
          <w:szCs w:val="20"/>
        </w:rPr>
      </w:pPr>
    </w:p>
    <w:p w:rsidR="00000000" w:rsidRDefault="003E4221">
      <w:pPr>
        <w:shd w:val="clear" w:color="auto" w:fill="DDDDDD"/>
        <w:jc w:val="both"/>
      </w:pPr>
      <w:r>
        <w:rPr>
          <w:b/>
          <w:bCs/>
        </w:rPr>
        <w:t>B.6.  Prior History&gt;&gt;</w:t>
      </w:r>
    </w:p>
    <w:p w:rsidR="00000000" w:rsidRDefault="003E4221">
      <w:pPr>
        <w:jc w:val="both"/>
        <w:rPr>
          <w:shd w:val="clear" w:color="auto" w:fill="CCCCCC"/>
        </w:rPr>
      </w:pPr>
      <w:r>
        <w:t xml:space="preserve">The project activity has not applied to any other GHG program for generation or issuance of carbon offsets or </w:t>
      </w:r>
      <w:r>
        <w:t>credits.</w:t>
      </w:r>
    </w:p>
    <w:p w:rsidR="00000000" w:rsidRDefault="003E4221">
      <w:pPr>
        <w:jc w:val="both"/>
        <w:rPr>
          <w:shd w:val="clear" w:color="auto" w:fill="CCCCCC"/>
        </w:rPr>
      </w:pPr>
    </w:p>
    <w:p w:rsidR="00000000" w:rsidRDefault="003E4221">
      <w:pPr>
        <w:jc w:val="both"/>
      </w:pPr>
      <w:r>
        <w:rPr>
          <w:b/>
          <w:bCs/>
          <w:shd w:val="clear" w:color="auto" w:fill="CCCCCC"/>
        </w:rPr>
        <w:t xml:space="preserve">B.7. Changes to start date of crediting period  &gt;&gt; </w:t>
      </w:r>
    </w:p>
    <w:p w:rsidR="00000000" w:rsidRDefault="003E4221">
      <w:pPr>
        <w:jc w:val="both"/>
        <w:rPr>
          <w:shd w:val="clear" w:color="auto" w:fill="CCCCCC"/>
        </w:rPr>
      </w:pPr>
      <w:r>
        <w:t xml:space="preserve">There is no change in the start date of crediting period. </w:t>
      </w:r>
    </w:p>
    <w:p w:rsidR="00000000" w:rsidRDefault="003E4221">
      <w:pPr>
        <w:jc w:val="both"/>
        <w:rPr>
          <w:shd w:val="clear" w:color="auto" w:fill="CCCCCC"/>
        </w:rPr>
      </w:pPr>
    </w:p>
    <w:p w:rsidR="00000000" w:rsidRDefault="003E4221">
      <w:pPr>
        <w:shd w:val="clear" w:color="auto" w:fill="DDDDDD"/>
        <w:jc w:val="both"/>
      </w:pPr>
      <w:r>
        <w:rPr>
          <w:b/>
          <w:bCs/>
        </w:rPr>
        <w:t xml:space="preserve">B.8. Permanent changes from PCN monitoring plan, applied methodology or applied standardized baseline &gt;&gt; </w:t>
      </w:r>
    </w:p>
    <w:p w:rsidR="00000000" w:rsidRDefault="003E4221">
      <w:pPr>
        <w:jc w:val="both"/>
        <w:rPr>
          <w:b/>
          <w:bCs/>
        </w:rPr>
      </w:pPr>
      <w:r>
        <w:t>There are no permanent chang</w:t>
      </w:r>
      <w:r>
        <w:t>es from registered PCN monitoring plan and applied methodology</w:t>
      </w:r>
    </w:p>
    <w:p w:rsidR="00000000" w:rsidRDefault="003E4221">
      <w:pPr>
        <w:jc w:val="both"/>
        <w:rPr>
          <w:b/>
          <w:bCs/>
        </w:rPr>
      </w:pPr>
    </w:p>
    <w:p w:rsidR="00000000" w:rsidRDefault="003E4221">
      <w:pPr>
        <w:jc w:val="both"/>
        <w:rPr>
          <w:b/>
          <w:bCs/>
        </w:rPr>
      </w:pPr>
    </w:p>
    <w:p w:rsidR="00000000" w:rsidRDefault="003E4221">
      <w:pPr>
        <w:shd w:val="clear" w:color="auto" w:fill="DDDDDD"/>
        <w:jc w:val="both"/>
      </w:pPr>
      <w:r>
        <w:rPr>
          <w:b/>
          <w:bCs/>
        </w:rPr>
        <w:t>B.9. Monitoring period number and duration&gt;&gt;</w:t>
      </w:r>
    </w:p>
    <w:p w:rsidR="00000000" w:rsidRDefault="003E4221"/>
    <w:p w:rsidR="00000000" w:rsidRDefault="003E4221">
      <w:pPr>
        <w:rPr>
          <w:sz w:val="44"/>
          <w:szCs w:val="44"/>
        </w:rPr>
      </w:pPr>
      <w:r>
        <w:t xml:space="preserve">First Issuance Period: 5 years, 10 months – </w:t>
      </w:r>
      <w:r>
        <w:t>01/01/2016 to 31/10/2021</w:t>
      </w:r>
    </w:p>
    <w:p w:rsidR="00000000" w:rsidRDefault="003E4221">
      <w:pPr>
        <w:rPr>
          <w:sz w:val="44"/>
          <w:szCs w:val="44"/>
        </w:rPr>
      </w:pPr>
    </w:p>
    <w:p w:rsidR="00000000" w:rsidRDefault="003E4221">
      <w:pPr>
        <w:shd w:val="clear" w:color="auto" w:fill="DDDDDD"/>
        <w:jc w:val="both"/>
      </w:pPr>
      <w:r>
        <w:rPr>
          <w:b/>
          <w:bCs/>
        </w:rPr>
        <w:t xml:space="preserve">B.8. Monitoring plan&gt;&gt; </w:t>
      </w:r>
    </w:p>
    <w:p w:rsidR="00000000" w:rsidRDefault="003E4221"/>
    <w:p w:rsidR="00000000" w:rsidRDefault="003E4221">
      <w:r>
        <w:t>The amount of waste combusted, gasified or mechani</w:t>
      </w:r>
      <w:r>
        <w:t xml:space="preserve">cally/thermally treated by the project activity in each year (Qy) shall be measured and recorded, as well as its composition through representative sampling, to provide information for estimating the baseline emissions. </w:t>
      </w:r>
    </w:p>
    <w:p w:rsidR="00000000" w:rsidRDefault="003E4221"/>
    <w:p w:rsidR="00000000" w:rsidRDefault="003E4221"/>
    <w:tbl>
      <w:tblPr>
        <w:tblW w:w="0" w:type="auto"/>
        <w:tblInd w:w="55" w:type="dxa"/>
        <w:tblLayout w:type="fixed"/>
        <w:tblCellMar>
          <w:top w:w="55" w:type="dxa"/>
          <w:left w:w="55" w:type="dxa"/>
          <w:bottom w:w="55" w:type="dxa"/>
          <w:right w:w="55" w:type="dxa"/>
        </w:tblCellMar>
        <w:tblLook w:val="0000"/>
      </w:tblPr>
      <w:tblGrid>
        <w:gridCol w:w="4214"/>
        <w:gridCol w:w="5441"/>
      </w:tblGrid>
      <w:tr w:rsidR="00000000">
        <w:tc>
          <w:tcPr>
            <w:tcW w:w="4214" w:type="dxa"/>
            <w:tcBorders>
              <w:top w:val="single" w:sz="1" w:space="0" w:color="000000"/>
              <w:left w:val="single" w:sz="1" w:space="0" w:color="000000"/>
              <w:bottom w:val="single" w:sz="1" w:space="0" w:color="000000"/>
            </w:tcBorders>
            <w:shd w:val="clear" w:color="auto" w:fill="CCCCCC"/>
          </w:tcPr>
          <w:p w:rsidR="00000000" w:rsidRDefault="003E4221">
            <w:pPr>
              <w:pStyle w:val="TableContents"/>
              <w:rPr>
                <w:shd w:val="clear" w:color="auto" w:fill="DDDDDD"/>
              </w:rPr>
            </w:pPr>
            <w:r>
              <w:t xml:space="preserve">Data/Parameter </w:t>
            </w:r>
          </w:p>
        </w:tc>
        <w:tc>
          <w:tcPr>
            <w:tcW w:w="5441" w:type="dxa"/>
            <w:tcBorders>
              <w:top w:val="single" w:sz="1" w:space="0" w:color="000000"/>
              <w:left w:val="single" w:sz="1" w:space="0" w:color="000000"/>
              <w:bottom w:val="single" w:sz="1" w:space="0" w:color="000000"/>
              <w:right w:val="single" w:sz="1" w:space="0" w:color="000000"/>
            </w:tcBorders>
            <w:shd w:val="clear" w:color="auto" w:fill="CCCCCC"/>
          </w:tcPr>
          <w:p w:rsidR="00000000" w:rsidRDefault="003E4221">
            <w:pPr>
              <w:pStyle w:val="TableContents"/>
              <w:shd w:val="clear" w:color="auto" w:fill="DDDDDD"/>
            </w:pPr>
            <w:r>
              <w:rPr>
                <w:shd w:val="clear" w:color="auto" w:fill="DDDDDD"/>
              </w:rPr>
              <w:t>Date</w:t>
            </w:r>
            <w:r>
              <w:t xml:space="preserve"> of commissio</w:t>
            </w:r>
            <w:r>
              <w:t>ning of units</w:t>
            </w:r>
          </w:p>
        </w:tc>
      </w:tr>
      <w:tr w:rsidR="00000000">
        <w:tc>
          <w:tcPr>
            <w:tcW w:w="4214"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 xml:space="preserve">Data unit  </w:t>
            </w:r>
          </w:p>
        </w:tc>
        <w:tc>
          <w:tcPr>
            <w:tcW w:w="5441"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Date.</w:t>
            </w:r>
          </w:p>
        </w:tc>
      </w:tr>
      <w:tr w:rsidR="00000000">
        <w:tc>
          <w:tcPr>
            <w:tcW w:w="4214"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 xml:space="preserve">Description </w:t>
            </w:r>
          </w:p>
        </w:tc>
        <w:tc>
          <w:tcPr>
            <w:tcW w:w="5441"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Actual date of commissioning of the project units</w:t>
            </w:r>
          </w:p>
        </w:tc>
      </w:tr>
      <w:tr w:rsidR="00000000">
        <w:tc>
          <w:tcPr>
            <w:tcW w:w="4214"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Source of data</w:t>
            </w:r>
          </w:p>
          <w:p w:rsidR="00000000" w:rsidRDefault="003E4221">
            <w:pPr>
              <w:pStyle w:val="TableContents"/>
              <w:rPr>
                <w:sz w:val="20"/>
                <w:szCs w:val="20"/>
              </w:rPr>
            </w:pPr>
            <w:r>
              <w:rPr>
                <w:sz w:val="20"/>
                <w:szCs w:val="20"/>
              </w:rPr>
              <w:t xml:space="preserve">Value(s) applied </w:t>
            </w:r>
          </w:p>
        </w:tc>
        <w:tc>
          <w:tcPr>
            <w:tcW w:w="5441" w:type="dxa"/>
            <w:tcBorders>
              <w:left w:val="single" w:sz="1" w:space="0" w:color="000000"/>
              <w:bottom w:val="single" w:sz="1" w:space="0" w:color="000000"/>
              <w:right w:val="single" w:sz="1" w:space="0" w:color="000000"/>
            </w:tcBorders>
            <w:shd w:val="clear" w:color="auto" w:fill="auto"/>
          </w:tcPr>
          <w:p w:rsidR="00000000" w:rsidRDefault="003E4221">
            <w:pPr>
              <w:pStyle w:val="TableContents"/>
              <w:rPr>
                <w:sz w:val="20"/>
                <w:szCs w:val="20"/>
              </w:rPr>
            </w:pPr>
            <w:r>
              <w:rPr>
                <w:sz w:val="20"/>
                <w:szCs w:val="20"/>
              </w:rPr>
              <w:t>Monitoring Report</w:t>
            </w:r>
          </w:p>
          <w:p w:rsidR="00000000" w:rsidRDefault="003E4221">
            <w:pPr>
              <w:pStyle w:val="TableContents"/>
            </w:pPr>
            <w:r>
              <w:rPr>
                <w:sz w:val="20"/>
                <w:szCs w:val="20"/>
              </w:rPr>
              <w:t xml:space="preserve">As and when commissioned </w:t>
            </w:r>
          </w:p>
        </w:tc>
      </w:tr>
      <w:tr w:rsidR="00000000">
        <w:tc>
          <w:tcPr>
            <w:tcW w:w="4214"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Measurement methods and procedures</w:t>
            </w:r>
          </w:p>
        </w:tc>
        <w:tc>
          <w:tcPr>
            <w:tcW w:w="5441"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The construction processes are maintained fro</w:t>
            </w:r>
            <w:r>
              <w:rPr>
                <w:sz w:val="20"/>
                <w:szCs w:val="20"/>
              </w:rPr>
              <w:t xml:space="preserve">m its initiation to completion dates for the biogas unit. Thus the start date of each of the unit installed is recorded in the monitoring report. </w:t>
            </w:r>
          </w:p>
        </w:tc>
      </w:tr>
      <w:tr w:rsidR="00000000">
        <w:tc>
          <w:tcPr>
            <w:tcW w:w="4214"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 xml:space="preserve">Monitoring frequency </w:t>
            </w:r>
          </w:p>
        </w:tc>
        <w:tc>
          <w:tcPr>
            <w:tcW w:w="5441"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As and when commissioned and fixed and recorded in the monitoring report</w:t>
            </w:r>
          </w:p>
        </w:tc>
      </w:tr>
      <w:tr w:rsidR="00000000">
        <w:tc>
          <w:tcPr>
            <w:tcW w:w="4214"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Purpose of d</w:t>
            </w:r>
            <w:r>
              <w:rPr>
                <w:sz w:val="20"/>
                <w:szCs w:val="20"/>
              </w:rPr>
              <w:t xml:space="preserve">ata </w:t>
            </w:r>
          </w:p>
        </w:tc>
        <w:tc>
          <w:tcPr>
            <w:tcW w:w="5441" w:type="dxa"/>
            <w:tcBorders>
              <w:left w:val="single" w:sz="1" w:space="0" w:color="000000"/>
              <w:bottom w:val="single" w:sz="1" w:space="0" w:color="000000"/>
              <w:right w:val="single" w:sz="1" w:space="0" w:color="000000"/>
            </w:tcBorders>
            <w:shd w:val="clear" w:color="auto" w:fill="auto"/>
          </w:tcPr>
          <w:p w:rsidR="00000000" w:rsidRDefault="003E4221">
            <w:pPr>
              <w:pStyle w:val="TableContents"/>
            </w:pPr>
            <w:r>
              <w:rPr>
                <w:sz w:val="20"/>
                <w:szCs w:val="20"/>
              </w:rPr>
              <w:t xml:space="preserve">To estimate baseline emissions </w:t>
            </w:r>
          </w:p>
        </w:tc>
      </w:tr>
    </w:tbl>
    <w:p w:rsidR="00000000" w:rsidRDefault="003E4221"/>
    <w:p w:rsidR="00000000" w:rsidRDefault="003E4221"/>
    <w:tbl>
      <w:tblPr>
        <w:tblW w:w="0" w:type="auto"/>
        <w:tblInd w:w="89" w:type="dxa"/>
        <w:tblLayout w:type="fixed"/>
        <w:tblLook w:val="0000"/>
      </w:tblPr>
      <w:tblGrid>
        <w:gridCol w:w="4199"/>
        <w:gridCol w:w="5466"/>
      </w:tblGrid>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pPr>
            <w:r>
              <w:t>Data / Parameter:</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shd w:val="clear" w:color="auto" w:fill="DDDDDD"/>
            </w:pPr>
            <w:r>
              <w:t xml:space="preserve">Q </w:t>
            </w:r>
            <w:r>
              <w:rPr>
                <w:vertAlign w:val="subscript"/>
              </w:rPr>
              <w:t>waste</w:t>
            </w:r>
          </w:p>
        </w:tc>
      </w:tr>
      <w:tr w:rsidR="00000000">
        <w:tc>
          <w:tcPr>
            <w:tcW w:w="4199"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Data unit:</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sz w:val="20"/>
                <w:szCs w:val="20"/>
              </w:rPr>
              <w:t>tons</w:t>
            </w:r>
          </w:p>
        </w:tc>
      </w:tr>
      <w:tr w:rsidR="00000000">
        <w:tc>
          <w:tcPr>
            <w:tcW w:w="4199"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Description:</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rPr>
                <w:sz w:val="20"/>
                <w:szCs w:val="20"/>
              </w:rPr>
            </w:pPr>
            <w:r>
              <w:rPr>
                <w:sz w:val="20"/>
                <w:szCs w:val="20"/>
              </w:rPr>
              <w:t xml:space="preserve">Quantity of solid waste or residual waste </w:t>
            </w:r>
          </w:p>
          <w:p w:rsidR="00000000" w:rsidRDefault="003E4221">
            <w:pPr>
              <w:pStyle w:val="TableContents"/>
              <w:rPr>
                <w:sz w:val="20"/>
                <w:szCs w:val="20"/>
              </w:rPr>
            </w:pPr>
          </w:p>
        </w:tc>
      </w:tr>
      <w:tr w:rsidR="00000000">
        <w:tc>
          <w:tcPr>
            <w:tcW w:w="4199"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lastRenderedPageBreak/>
              <w:t>Source of data:</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sz w:val="20"/>
                <w:szCs w:val="20"/>
              </w:rPr>
              <w:t>Measured</w:t>
            </w:r>
          </w:p>
        </w:tc>
      </w:tr>
      <w:tr w:rsidR="00000000">
        <w:tc>
          <w:tcPr>
            <w:tcW w:w="4199" w:type="dxa"/>
            <w:tcBorders>
              <w:left w:val="single" w:sz="1" w:space="0" w:color="000000"/>
              <w:bottom w:val="single" w:sz="1" w:space="0" w:color="000000"/>
            </w:tcBorders>
            <w:shd w:val="clear" w:color="auto" w:fill="DDDDDD"/>
          </w:tcPr>
          <w:p w:rsidR="00000000" w:rsidRDefault="003E4221">
            <w:pPr>
              <w:pStyle w:val="TableContents"/>
              <w:rPr>
                <w:rFonts w:cs="Arial"/>
                <w:sz w:val="20"/>
                <w:szCs w:val="20"/>
              </w:rPr>
            </w:pPr>
            <w:r>
              <w:rPr>
                <w:sz w:val="20"/>
                <w:szCs w:val="20"/>
              </w:rPr>
              <w:t>Measurement</w:t>
            </w:r>
            <w:r>
              <w:rPr>
                <w:sz w:val="20"/>
                <w:szCs w:val="20"/>
              </w:rPr>
              <w:br/>
              <w:t>procedures (if any):</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On-site data sheets recorded monthly using weigh bridge</w:t>
            </w:r>
          </w:p>
        </w:tc>
      </w:tr>
      <w:tr w:rsidR="00000000">
        <w:tc>
          <w:tcPr>
            <w:tcW w:w="4199"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Monitoring frequency:</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sz w:val="20"/>
                <w:szCs w:val="20"/>
              </w:rPr>
              <w:t>Monthly-</w:t>
            </w:r>
          </w:p>
        </w:tc>
      </w:tr>
      <w:tr w:rsidR="00000000">
        <w:tc>
          <w:tcPr>
            <w:tcW w:w="4199"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QA/QC procedures:</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sz w:val="20"/>
                <w:szCs w:val="20"/>
              </w:rPr>
              <w:t>Quantity of waste processed in the plant is measured using the weigh bridge at the entrance of the plant. Weigh bridge is calibrated on regular basis as per the procedures of Department of Weighs and Meas</w:t>
            </w:r>
            <w:r>
              <w:rPr>
                <w:sz w:val="20"/>
                <w:szCs w:val="20"/>
              </w:rPr>
              <w:t>urements</w:t>
            </w:r>
          </w:p>
        </w:tc>
      </w:tr>
      <w:tr w:rsidR="00000000">
        <w:tc>
          <w:tcPr>
            <w:tcW w:w="4199" w:type="dxa"/>
            <w:tcBorders>
              <w:left w:val="single" w:sz="1" w:space="0" w:color="000000"/>
              <w:bottom w:val="single" w:sz="1" w:space="0" w:color="000000"/>
            </w:tcBorders>
            <w:shd w:val="clear" w:color="auto" w:fill="DDDDDD"/>
          </w:tcPr>
          <w:p w:rsidR="00000000" w:rsidRDefault="003E4221">
            <w:pPr>
              <w:pStyle w:val="TableContents"/>
              <w:rPr>
                <w:sz w:val="20"/>
                <w:szCs w:val="20"/>
              </w:rPr>
            </w:pPr>
            <w:r>
              <w:rPr>
                <w:sz w:val="20"/>
                <w:szCs w:val="20"/>
              </w:rPr>
              <w:t>Any comment:</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sz w:val="20"/>
                <w:szCs w:val="20"/>
              </w:rPr>
              <w:t>-</w:t>
            </w:r>
          </w:p>
        </w:tc>
      </w:tr>
    </w:tbl>
    <w:p w:rsidR="00000000" w:rsidRDefault="003E4221"/>
    <w:tbl>
      <w:tblPr>
        <w:tblW w:w="0" w:type="auto"/>
        <w:tblInd w:w="89" w:type="dxa"/>
        <w:tblLayout w:type="fixed"/>
        <w:tblLook w:val="0000"/>
      </w:tblPr>
      <w:tblGrid>
        <w:gridCol w:w="4199"/>
        <w:gridCol w:w="5466"/>
      </w:tblGrid>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SDMTableBoxParaNotNumbered"/>
              <w:keepNext/>
              <w:keepLines/>
              <w:rPr>
                <w:rFonts w:ascii="Arial" w:hAnsi="Arial" w:cs="Arial"/>
                <w:b/>
              </w:rPr>
            </w:pPr>
            <w:r>
              <w:rPr>
                <w:rFonts w:ascii="Arial" w:hAnsi="Arial" w:cs="Arial"/>
                <w:b/>
              </w:rPr>
              <w:t>Data / Parameter:</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SDMTableBoxParaNotNumbered"/>
              <w:keepNext/>
              <w:keepLines/>
              <w:shd w:val="clear" w:color="auto" w:fill="DDDDDD"/>
            </w:pPr>
            <w:r>
              <w:rPr>
                <w:rFonts w:ascii="Arial" w:hAnsi="Arial" w:cs="Arial"/>
                <w:b/>
              </w:rPr>
              <w:t>N</w:t>
            </w:r>
            <w:r>
              <w:rPr>
                <w:rFonts w:ascii="Arial" w:hAnsi="Arial" w:cs="Arial"/>
                <w:b/>
                <w:vertAlign w:val="subscript"/>
              </w:rPr>
              <w:t>y</w:t>
            </w:r>
          </w:p>
        </w:tc>
      </w:tr>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sz w:val="20"/>
                <w:szCs w:val="20"/>
              </w:rPr>
            </w:pPr>
            <w:r>
              <w:rPr>
                <w:sz w:val="20"/>
                <w:szCs w:val="20"/>
              </w:rPr>
              <w:t>Data unit:</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sz w:val="20"/>
                <w:szCs w:val="20"/>
              </w:rPr>
              <w:t>Number of operational days in a year</w:t>
            </w:r>
          </w:p>
        </w:tc>
      </w:tr>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sz w:val="20"/>
                <w:szCs w:val="20"/>
              </w:rPr>
              <w:t>Description:</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Measured</w:t>
            </w:r>
          </w:p>
        </w:tc>
      </w:tr>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sz w:val="20"/>
                <w:szCs w:val="20"/>
              </w:rPr>
            </w:pPr>
            <w:r>
              <w:rPr>
                <w:sz w:val="20"/>
                <w:szCs w:val="20"/>
              </w:rPr>
              <w:t>Source of data:</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sz w:val="20"/>
                <w:szCs w:val="20"/>
              </w:rPr>
              <w:t>-</w:t>
            </w:r>
          </w:p>
        </w:tc>
      </w:tr>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sz w:val="20"/>
                <w:szCs w:val="20"/>
              </w:rPr>
              <w:t>Measurement</w:t>
            </w:r>
            <w:r>
              <w:rPr>
                <w:sz w:val="20"/>
                <w:szCs w:val="20"/>
              </w:rPr>
              <w:br/>
              <w:t>procedures (if any):</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Records kept in the log book.</w:t>
            </w:r>
          </w:p>
        </w:tc>
      </w:tr>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sz w:val="20"/>
                <w:szCs w:val="20"/>
              </w:rPr>
              <w:t>Monitoring frequency:</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Annually, based on monthly rec</w:t>
            </w:r>
            <w:r>
              <w:rPr>
                <w:rFonts w:cs="Arial"/>
                <w:sz w:val="20"/>
                <w:szCs w:val="20"/>
              </w:rPr>
              <w:t>ords</w:t>
            </w:r>
          </w:p>
        </w:tc>
      </w:tr>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ascii="Arial" w:hAnsi="Arial" w:cs="Arial"/>
              </w:rPr>
            </w:pPr>
            <w:r>
              <w:rPr>
                <w:sz w:val="20"/>
                <w:szCs w:val="20"/>
              </w:rPr>
              <w:t>QA/QC procedures:</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SDMTableBoxParaNotNumbered"/>
            </w:pPr>
            <w:r>
              <w:rPr>
                <w:rFonts w:ascii="Arial" w:hAnsi="Arial" w:cs="Arial"/>
              </w:rPr>
              <w:t>-</w:t>
            </w:r>
          </w:p>
        </w:tc>
      </w:tr>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ascii="Arial" w:hAnsi="Arial" w:cs="Arial"/>
              </w:rPr>
            </w:pPr>
            <w:r>
              <w:rPr>
                <w:sz w:val="20"/>
                <w:szCs w:val="20"/>
              </w:rPr>
              <w:t>Any comment:</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SDMTableBoxParaNotNumbered"/>
            </w:pPr>
            <w:r>
              <w:rPr>
                <w:rFonts w:ascii="Arial" w:hAnsi="Arial" w:cs="Arial"/>
              </w:rPr>
              <w:t>-</w:t>
            </w:r>
            <w:r>
              <w:rPr>
                <w:rFonts w:ascii="Arial" w:hAnsi="Arial" w:cs="Arial"/>
                <w:szCs w:val="20"/>
              </w:rPr>
              <w:t xml:space="preserve">To estimate baseline emissions </w:t>
            </w:r>
          </w:p>
        </w:tc>
      </w:tr>
    </w:tbl>
    <w:p w:rsidR="00000000" w:rsidRDefault="003E4221"/>
    <w:tbl>
      <w:tblPr>
        <w:tblW w:w="0" w:type="auto"/>
        <w:tblInd w:w="104" w:type="dxa"/>
        <w:tblLayout w:type="fixed"/>
        <w:tblLook w:val="0000"/>
      </w:tblPr>
      <w:tblGrid>
        <w:gridCol w:w="4214"/>
        <w:gridCol w:w="5466"/>
      </w:tblGrid>
      <w:tr w:rsidR="00000000">
        <w:tc>
          <w:tcPr>
            <w:tcW w:w="4214" w:type="dxa"/>
            <w:tcBorders>
              <w:top w:val="single" w:sz="4" w:space="0" w:color="000000"/>
              <w:left w:val="single" w:sz="4" w:space="0" w:color="000000"/>
              <w:bottom w:val="single" w:sz="4" w:space="0" w:color="000000"/>
            </w:tcBorders>
            <w:shd w:val="clear" w:color="auto" w:fill="E6E6E6"/>
          </w:tcPr>
          <w:p w:rsidR="00000000" w:rsidRDefault="003E4221">
            <w:pPr>
              <w:pStyle w:val="SDMTableBoxParaNotNumbered"/>
              <w:keepNext/>
              <w:keepLines/>
              <w:rPr>
                <w:rFonts w:ascii="Arial" w:eastAsia="Times New Roman" w:hAnsi="Arial" w:cs="Arial"/>
                <w:b/>
                <w:bCs/>
                <w:szCs w:val="20"/>
              </w:rPr>
            </w:pPr>
            <w:r>
              <w:rPr>
                <w:rFonts w:ascii="Arial" w:hAnsi="Arial" w:cs="Arial"/>
                <w:b/>
              </w:rPr>
              <w:t>Data / Parameter:</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SDMTableBoxParaNotNumbered"/>
              <w:shd w:val="clear" w:color="auto" w:fill="DDDDDD"/>
            </w:pPr>
            <w:r>
              <w:rPr>
                <w:rFonts w:ascii="Arial" w:eastAsia="Times New Roman" w:hAnsi="Arial" w:cs="Arial"/>
                <w:b/>
                <w:bCs/>
                <w:szCs w:val="20"/>
              </w:rPr>
              <w:t>W</w:t>
            </w:r>
            <w:r>
              <w:rPr>
                <w:rFonts w:ascii="Arial" w:eastAsia="Times New Roman" w:hAnsi="Arial" w:cs="Arial"/>
                <w:b/>
                <w:bCs/>
                <w:szCs w:val="20"/>
                <w:vertAlign w:val="subscript"/>
              </w:rPr>
              <w:t>j</w:t>
            </w:r>
          </w:p>
        </w:tc>
      </w:tr>
      <w:tr w:rsidR="00000000">
        <w:tc>
          <w:tcPr>
            <w:tcW w:w="4214"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lang w:val="es-ES"/>
              </w:rPr>
            </w:pPr>
            <w:r>
              <w:rPr>
                <w:sz w:val="20"/>
                <w:szCs w:val="20"/>
              </w:rPr>
              <w:t>Data unit:</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lang w:val="es-ES"/>
              </w:rPr>
              <w:t>%</w:t>
            </w:r>
          </w:p>
        </w:tc>
      </w:tr>
      <w:tr w:rsidR="00000000">
        <w:tc>
          <w:tcPr>
            <w:tcW w:w="4214"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sz w:val="20"/>
                <w:szCs w:val="20"/>
              </w:rPr>
              <w:t>Description:</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Percentage of waste type entering the MSW facility</w:t>
            </w:r>
          </w:p>
        </w:tc>
      </w:tr>
      <w:tr w:rsidR="00000000">
        <w:tc>
          <w:tcPr>
            <w:tcW w:w="4214"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sz w:val="20"/>
                <w:szCs w:val="20"/>
              </w:rPr>
            </w:pPr>
            <w:r>
              <w:rPr>
                <w:sz w:val="20"/>
                <w:szCs w:val="20"/>
              </w:rPr>
              <w:t>Source of data:</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sz w:val="20"/>
                <w:szCs w:val="20"/>
              </w:rPr>
              <w:t>-</w:t>
            </w:r>
          </w:p>
        </w:tc>
      </w:tr>
      <w:tr w:rsidR="00000000">
        <w:tc>
          <w:tcPr>
            <w:tcW w:w="4214"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sz w:val="20"/>
                <w:szCs w:val="20"/>
              </w:rPr>
              <w:t>Measurement</w:t>
            </w:r>
            <w:r>
              <w:rPr>
                <w:sz w:val="20"/>
                <w:szCs w:val="20"/>
              </w:rPr>
              <w:br/>
              <w:t>procedures (if any):</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Sampling in log book.</w:t>
            </w:r>
          </w:p>
        </w:tc>
      </w:tr>
      <w:tr w:rsidR="00000000">
        <w:tc>
          <w:tcPr>
            <w:tcW w:w="4214"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sz w:val="20"/>
                <w:szCs w:val="20"/>
              </w:rPr>
              <w:t>Monit</w:t>
            </w:r>
            <w:r>
              <w:rPr>
                <w:sz w:val="20"/>
                <w:szCs w:val="20"/>
              </w:rPr>
              <w:t>oring frequency:</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Annually, based on monthly/daily records</w:t>
            </w:r>
          </w:p>
        </w:tc>
      </w:tr>
      <w:tr w:rsidR="00000000">
        <w:tc>
          <w:tcPr>
            <w:tcW w:w="4214"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sz w:val="20"/>
                <w:szCs w:val="20"/>
              </w:rPr>
            </w:pPr>
            <w:r>
              <w:rPr>
                <w:sz w:val="20"/>
                <w:szCs w:val="20"/>
              </w:rPr>
              <w:t>QA/QC procedures:</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sz w:val="20"/>
                <w:szCs w:val="20"/>
              </w:rPr>
              <w:t>-</w:t>
            </w:r>
          </w:p>
        </w:tc>
      </w:tr>
      <w:tr w:rsidR="00000000">
        <w:tc>
          <w:tcPr>
            <w:tcW w:w="4214"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sz w:val="20"/>
                <w:szCs w:val="20"/>
              </w:rPr>
            </w:pPr>
            <w:r>
              <w:rPr>
                <w:sz w:val="20"/>
                <w:szCs w:val="20"/>
              </w:rPr>
              <w:t>Any comment:</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sz w:val="20"/>
                <w:szCs w:val="20"/>
              </w:rPr>
              <w:t xml:space="preserve">To estimate baseline emissions </w:t>
            </w:r>
          </w:p>
        </w:tc>
      </w:tr>
    </w:tbl>
    <w:p w:rsidR="00000000" w:rsidRDefault="003E4221"/>
    <w:p w:rsidR="00000000" w:rsidRDefault="003E4221"/>
    <w:tbl>
      <w:tblPr>
        <w:tblW w:w="0" w:type="auto"/>
        <w:tblInd w:w="89" w:type="dxa"/>
        <w:tblLayout w:type="fixed"/>
        <w:tblLook w:val="0000"/>
      </w:tblPr>
      <w:tblGrid>
        <w:gridCol w:w="4229"/>
        <w:gridCol w:w="5451"/>
      </w:tblGrid>
      <w:tr w:rsidR="00000000">
        <w:tc>
          <w:tcPr>
            <w:tcW w:w="4229" w:type="dxa"/>
            <w:tcBorders>
              <w:top w:val="single" w:sz="4" w:space="0" w:color="000000"/>
              <w:left w:val="single" w:sz="4" w:space="0" w:color="000000"/>
              <w:bottom w:val="single" w:sz="4" w:space="0" w:color="000000"/>
            </w:tcBorders>
            <w:shd w:val="clear" w:color="auto" w:fill="E6E6E6"/>
          </w:tcPr>
          <w:p w:rsidR="00000000" w:rsidRDefault="003E4221">
            <w:pPr>
              <w:pStyle w:val="SDMTableBoxParaNotNumbered"/>
              <w:keepNext/>
              <w:keepLines/>
              <w:rPr>
                <w:rFonts w:ascii="Arial" w:eastAsia="Times New Roman" w:hAnsi="Arial" w:cs="Arial"/>
                <w:b/>
                <w:i/>
                <w:iCs/>
              </w:rPr>
            </w:pPr>
            <w:r>
              <w:rPr>
                <w:rFonts w:ascii="Arial" w:eastAsia="Times New Roman" w:hAnsi="Arial" w:cs="Arial"/>
                <w:b/>
              </w:rPr>
              <w:t>Data / Parameter:</w:t>
            </w:r>
          </w:p>
        </w:tc>
        <w:tc>
          <w:tcPr>
            <w:tcW w:w="545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SDMTableBoxParaNotNumbered"/>
              <w:keepNext/>
              <w:keepLines/>
            </w:pPr>
            <w:r>
              <w:rPr>
                <w:rFonts w:ascii="Arial" w:eastAsia="Times New Roman" w:hAnsi="Arial" w:cs="Arial"/>
                <w:b/>
                <w:i/>
                <w:iCs/>
              </w:rPr>
              <w:t>EG</w:t>
            </w:r>
            <w:r>
              <w:rPr>
                <w:rFonts w:ascii="Arial" w:eastAsia="Times New Roman" w:hAnsi="Arial" w:cs="Arial"/>
                <w:b/>
                <w:bCs/>
                <w:i/>
                <w:iCs/>
                <w:vertAlign w:val="subscript"/>
              </w:rPr>
              <w:t>grid,y</w:t>
            </w:r>
          </w:p>
        </w:tc>
      </w:tr>
      <w:tr w:rsidR="00000000">
        <w:tc>
          <w:tcPr>
            <w:tcW w:w="422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rFonts w:cs="Arial"/>
                <w:sz w:val="20"/>
                <w:szCs w:val="20"/>
              </w:rPr>
              <w:t>Data unit:</w:t>
            </w:r>
          </w:p>
        </w:tc>
        <w:tc>
          <w:tcPr>
            <w:tcW w:w="545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MWh</w:t>
            </w:r>
          </w:p>
        </w:tc>
      </w:tr>
      <w:tr w:rsidR="00000000">
        <w:tc>
          <w:tcPr>
            <w:tcW w:w="422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rFonts w:cs="Arial"/>
                <w:sz w:val="20"/>
                <w:szCs w:val="20"/>
              </w:rPr>
              <w:t>Description:</w:t>
            </w:r>
          </w:p>
        </w:tc>
        <w:tc>
          <w:tcPr>
            <w:tcW w:w="545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Quantity of electricity supplied to the grid</w:t>
            </w:r>
          </w:p>
        </w:tc>
      </w:tr>
      <w:tr w:rsidR="00000000">
        <w:tc>
          <w:tcPr>
            <w:tcW w:w="422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rFonts w:cs="Arial"/>
                <w:sz w:val="20"/>
                <w:szCs w:val="20"/>
              </w:rPr>
              <w:t>Source of data</w:t>
            </w:r>
          </w:p>
        </w:tc>
        <w:tc>
          <w:tcPr>
            <w:tcW w:w="545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Plant mete</w:t>
            </w:r>
            <w:r>
              <w:rPr>
                <w:rFonts w:cs="Arial"/>
                <w:sz w:val="20"/>
                <w:szCs w:val="20"/>
              </w:rPr>
              <w:t>r records</w:t>
            </w:r>
          </w:p>
        </w:tc>
      </w:tr>
      <w:tr w:rsidR="00000000">
        <w:tc>
          <w:tcPr>
            <w:tcW w:w="422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rFonts w:cs="Arial"/>
                <w:sz w:val="20"/>
                <w:szCs w:val="20"/>
              </w:rPr>
              <w:t>Measurement</w:t>
            </w:r>
            <w:r>
              <w:rPr>
                <w:rFonts w:cs="Arial"/>
                <w:sz w:val="20"/>
                <w:szCs w:val="20"/>
              </w:rPr>
              <w:br/>
              <w:t>procedures (if any):</w:t>
            </w:r>
          </w:p>
        </w:tc>
        <w:tc>
          <w:tcPr>
            <w:tcW w:w="545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Measured using calibrated meters. Calibration shall be as per the relevant methodologies.</w:t>
            </w:r>
          </w:p>
        </w:tc>
      </w:tr>
      <w:tr w:rsidR="00000000">
        <w:tc>
          <w:tcPr>
            <w:tcW w:w="422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rFonts w:cs="Arial"/>
                <w:sz w:val="20"/>
                <w:szCs w:val="20"/>
              </w:rPr>
              <w:t>Monitoring frequency:</w:t>
            </w:r>
          </w:p>
        </w:tc>
        <w:tc>
          <w:tcPr>
            <w:tcW w:w="545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Continuous monitoring, integrated hourly and at least monthly recording</w:t>
            </w:r>
          </w:p>
        </w:tc>
      </w:tr>
      <w:tr w:rsidR="00000000">
        <w:tc>
          <w:tcPr>
            <w:tcW w:w="422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rFonts w:cs="Arial"/>
                <w:sz w:val="20"/>
                <w:szCs w:val="20"/>
              </w:rPr>
              <w:t>QA/QC procedure</w:t>
            </w:r>
          </w:p>
        </w:tc>
        <w:tc>
          <w:tcPr>
            <w:tcW w:w="545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w:t>
            </w:r>
          </w:p>
        </w:tc>
      </w:tr>
      <w:tr w:rsidR="00000000">
        <w:tc>
          <w:tcPr>
            <w:tcW w:w="422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rFonts w:cs="Arial"/>
                <w:sz w:val="20"/>
                <w:szCs w:val="20"/>
              </w:rPr>
              <w:t>Any com</w:t>
            </w:r>
            <w:r>
              <w:rPr>
                <w:rFonts w:cs="Arial"/>
                <w:sz w:val="20"/>
                <w:szCs w:val="20"/>
              </w:rPr>
              <w:t>ment:</w:t>
            </w:r>
          </w:p>
        </w:tc>
        <w:tc>
          <w:tcPr>
            <w:tcW w:w="545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The parameter need to be monitored for project activities which displaces grid electricity</w:t>
            </w:r>
          </w:p>
        </w:tc>
      </w:tr>
    </w:tbl>
    <w:p w:rsidR="00000000" w:rsidRDefault="003E4221"/>
    <w:p w:rsidR="00000000" w:rsidRDefault="003E4221"/>
    <w:tbl>
      <w:tblPr>
        <w:tblW w:w="0" w:type="auto"/>
        <w:tblInd w:w="89" w:type="dxa"/>
        <w:tblLayout w:type="fixed"/>
        <w:tblLook w:val="0000"/>
      </w:tblPr>
      <w:tblGrid>
        <w:gridCol w:w="4229"/>
        <w:gridCol w:w="5451"/>
      </w:tblGrid>
      <w:tr w:rsidR="00000000">
        <w:tc>
          <w:tcPr>
            <w:tcW w:w="4229" w:type="dxa"/>
            <w:tcBorders>
              <w:top w:val="single" w:sz="4" w:space="0" w:color="000000"/>
              <w:left w:val="single" w:sz="4" w:space="0" w:color="000000"/>
              <w:bottom w:val="single" w:sz="4" w:space="0" w:color="000000"/>
            </w:tcBorders>
            <w:shd w:val="clear" w:color="auto" w:fill="E6E6E6"/>
          </w:tcPr>
          <w:p w:rsidR="00000000" w:rsidRDefault="003E4221">
            <w:pPr>
              <w:pStyle w:val="SDMTableBoxParaNotNumbered"/>
              <w:keepNext/>
              <w:keepLines/>
              <w:rPr>
                <w:rFonts w:ascii="Arial" w:eastAsia="Times New Roman" w:hAnsi="Arial" w:cs="Arial"/>
                <w:b/>
                <w:iCs/>
              </w:rPr>
            </w:pPr>
            <w:r>
              <w:rPr>
                <w:rFonts w:ascii="Arial" w:eastAsia="Times New Roman" w:hAnsi="Arial" w:cs="Arial"/>
                <w:b/>
              </w:rPr>
              <w:t>Data / Parameter:</w:t>
            </w:r>
          </w:p>
        </w:tc>
        <w:tc>
          <w:tcPr>
            <w:tcW w:w="545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SDMTableBoxParaNotNumbered"/>
              <w:keepNext/>
              <w:keepLines/>
            </w:pPr>
            <w:r>
              <w:rPr>
                <w:rFonts w:ascii="Arial" w:eastAsia="Times New Roman" w:hAnsi="Arial" w:cs="Arial"/>
                <w:b/>
                <w:iCs/>
              </w:rPr>
              <w:t>EF</w:t>
            </w:r>
            <w:r>
              <w:rPr>
                <w:rFonts w:ascii="Arial" w:eastAsia="Times New Roman" w:hAnsi="Arial" w:cs="Arial"/>
                <w:b/>
                <w:iCs/>
                <w:vertAlign w:val="subscript"/>
              </w:rPr>
              <w:t>grid,y</w:t>
            </w:r>
          </w:p>
        </w:tc>
      </w:tr>
      <w:tr w:rsidR="00000000">
        <w:tc>
          <w:tcPr>
            <w:tcW w:w="422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rFonts w:cs="Arial"/>
                <w:sz w:val="20"/>
                <w:szCs w:val="20"/>
              </w:rPr>
              <w:t>Data unit:</w:t>
            </w:r>
          </w:p>
        </w:tc>
        <w:tc>
          <w:tcPr>
            <w:tcW w:w="545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t CO</w:t>
            </w:r>
            <w:r>
              <w:rPr>
                <w:rFonts w:cs="Arial"/>
                <w:sz w:val="20"/>
                <w:szCs w:val="20"/>
                <w:vertAlign w:val="subscript"/>
              </w:rPr>
              <w:t>2</w:t>
            </w:r>
            <w:r>
              <w:rPr>
                <w:rFonts w:cs="Arial"/>
                <w:sz w:val="20"/>
                <w:szCs w:val="20"/>
              </w:rPr>
              <w:t>e/MWh</w:t>
            </w:r>
          </w:p>
        </w:tc>
      </w:tr>
      <w:tr w:rsidR="00000000">
        <w:tc>
          <w:tcPr>
            <w:tcW w:w="4229" w:type="dxa"/>
            <w:tcBorders>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rFonts w:cs="Arial"/>
                <w:sz w:val="20"/>
                <w:szCs w:val="20"/>
              </w:rPr>
              <w:t>Description:</w:t>
            </w:r>
          </w:p>
        </w:tc>
        <w:tc>
          <w:tcPr>
            <w:tcW w:w="5451" w:type="dxa"/>
            <w:tcBorders>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CO</w:t>
            </w:r>
            <w:r>
              <w:rPr>
                <w:rFonts w:cs="Arial"/>
                <w:sz w:val="20"/>
                <w:szCs w:val="20"/>
                <w:vertAlign w:val="subscript"/>
              </w:rPr>
              <w:t>2</w:t>
            </w:r>
            <w:r>
              <w:rPr>
                <w:rFonts w:cs="Arial"/>
                <w:sz w:val="20"/>
                <w:szCs w:val="20"/>
              </w:rPr>
              <w:t xml:space="preserve"> emission factor for the grid electricity in year </w:t>
            </w:r>
            <w:r>
              <w:rPr>
                <w:rFonts w:cs="Arial"/>
                <w:i/>
                <w:sz w:val="20"/>
                <w:szCs w:val="20"/>
              </w:rPr>
              <w:t>y</w:t>
            </w:r>
          </w:p>
        </w:tc>
      </w:tr>
      <w:tr w:rsidR="00000000">
        <w:tc>
          <w:tcPr>
            <w:tcW w:w="4229" w:type="dxa"/>
            <w:tcBorders>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rFonts w:cs="Arial"/>
                <w:sz w:val="20"/>
                <w:szCs w:val="20"/>
              </w:rPr>
              <w:t>Source of data</w:t>
            </w:r>
          </w:p>
        </w:tc>
        <w:tc>
          <w:tcPr>
            <w:tcW w:w="5451" w:type="dxa"/>
            <w:tcBorders>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w:t>
            </w:r>
          </w:p>
        </w:tc>
      </w:tr>
      <w:tr w:rsidR="00000000">
        <w:tc>
          <w:tcPr>
            <w:tcW w:w="4229" w:type="dxa"/>
            <w:tcBorders>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rFonts w:cs="Arial"/>
                <w:sz w:val="20"/>
                <w:szCs w:val="20"/>
              </w:rPr>
              <w:t>Measurement</w:t>
            </w:r>
            <w:r>
              <w:rPr>
                <w:rFonts w:cs="Arial"/>
                <w:sz w:val="20"/>
                <w:szCs w:val="20"/>
              </w:rPr>
              <w:br/>
              <w:t>proced</w:t>
            </w:r>
            <w:r>
              <w:rPr>
                <w:rFonts w:cs="Arial"/>
                <w:sz w:val="20"/>
                <w:szCs w:val="20"/>
              </w:rPr>
              <w:t>ures (if any):</w:t>
            </w:r>
          </w:p>
        </w:tc>
        <w:tc>
          <w:tcPr>
            <w:tcW w:w="5451" w:type="dxa"/>
            <w:tcBorders>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As described in UCR Standard</w:t>
            </w:r>
          </w:p>
        </w:tc>
      </w:tr>
      <w:tr w:rsidR="00000000">
        <w:tc>
          <w:tcPr>
            <w:tcW w:w="4229" w:type="dxa"/>
            <w:tcBorders>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rFonts w:cs="Arial"/>
                <w:sz w:val="20"/>
                <w:szCs w:val="20"/>
              </w:rPr>
              <w:t>Monitoring frequency:</w:t>
            </w:r>
          </w:p>
        </w:tc>
        <w:tc>
          <w:tcPr>
            <w:tcW w:w="5451" w:type="dxa"/>
            <w:tcBorders>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Annual</w:t>
            </w:r>
          </w:p>
        </w:tc>
      </w:tr>
      <w:tr w:rsidR="00000000">
        <w:tc>
          <w:tcPr>
            <w:tcW w:w="4229" w:type="dxa"/>
            <w:tcBorders>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rFonts w:cs="Arial"/>
                <w:sz w:val="20"/>
                <w:szCs w:val="20"/>
              </w:rPr>
              <w:t>QA/QC procedure</w:t>
            </w:r>
          </w:p>
        </w:tc>
        <w:tc>
          <w:tcPr>
            <w:tcW w:w="5451" w:type="dxa"/>
            <w:tcBorders>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w:t>
            </w:r>
          </w:p>
        </w:tc>
      </w:tr>
      <w:tr w:rsidR="00000000">
        <w:tc>
          <w:tcPr>
            <w:tcW w:w="4229" w:type="dxa"/>
            <w:tcBorders>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rFonts w:cs="Arial"/>
                <w:sz w:val="20"/>
                <w:szCs w:val="20"/>
              </w:rPr>
              <w:t>Any comment:</w:t>
            </w:r>
          </w:p>
        </w:tc>
        <w:tc>
          <w:tcPr>
            <w:tcW w:w="5451" w:type="dxa"/>
            <w:tcBorders>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The parameter need to be monitored for project activities which displaces grid electricity</w:t>
            </w:r>
          </w:p>
        </w:tc>
      </w:tr>
    </w:tbl>
    <w:p w:rsidR="00000000" w:rsidRDefault="003E4221"/>
    <w:p w:rsidR="00000000" w:rsidRDefault="003E4221"/>
    <w:p w:rsidR="00000000" w:rsidRDefault="003E4221"/>
    <w:tbl>
      <w:tblPr>
        <w:tblW w:w="0" w:type="auto"/>
        <w:tblInd w:w="89" w:type="dxa"/>
        <w:tblLayout w:type="fixed"/>
        <w:tblLook w:val="0000"/>
      </w:tblPr>
      <w:tblGrid>
        <w:gridCol w:w="4199"/>
        <w:gridCol w:w="5466"/>
      </w:tblGrid>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SDMTableBoxParaNotNumbered"/>
              <w:keepNext/>
              <w:keepLines/>
              <w:rPr>
                <w:rFonts w:ascii="Arial" w:hAnsi="Arial" w:cs="Arial"/>
                <w:b/>
              </w:rPr>
            </w:pPr>
            <w:r>
              <w:rPr>
                <w:rFonts w:ascii="Arial" w:hAnsi="Arial" w:cs="Arial"/>
                <w:b/>
              </w:rPr>
              <w:lastRenderedPageBreak/>
              <w:t>Data / Parameter:</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SDMTableBoxParaNotNumbered"/>
              <w:keepNext/>
              <w:keepLines/>
              <w:shd w:val="clear" w:color="auto" w:fill="DDDDDD"/>
            </w:pPr>
            <w:r>
              <w:rPr>
                <w:rFonts w:ascii="Arial" w:hAnsi="Arial" w:cs="Arial"/>
                <w:b/>
              </w:rPr>
              <w:t>N</w:t>
            </w:r>
            <w:r>
              <w:rPr>
                <w:rFonts w:ascii="Arial" w:hAnsi="Arial" w:cs="Arial"/>
                <w:b/>
                <w:vertAlign w:val="subscript"/>
              </w:rPr>
              <w:t>y,trucks</w:t>
            </w:r>
          </w:p>
        </w:tc>
      </w:tr>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sz w:val="20"/>
                <w:szCs w:val="20"/>
              </w:rPr>
            </w:pPr>
            <w:r>
              <w:rPr>
                <w:sz w:val="20"/>
                <w:szCs w:val="20"/>
              </w:rPr>
              <w:t>Data unit:</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sz w:val="20"/>
                <w:szCs w:val="20"/>
              </w:rPr>
              <w:t>Number of truc</w:t>
            </w:r>
            <w:r>
              <w:rPr>
                <w:sz w:val="20"/>
                <w:szCs w:val="20"/>
              </w:rPr>
              <w:t>ks used between 2016-2020 for RDF transport offsite</w:t>
            </w:r>
          </w:p>
        </w:tc>
      </w:tr>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sz w:val="20"/>
                <w:szCs w:val="20"/>
              </w:rPr>
              <w:t>Description:</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RDF was transported offsite during the years 2016-2020.</w:t>
            </w:r>
          </w:p>
        </w:tc>
      </w:tr>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sz w:val="20"/>
                <w:szCs w:val="20"/>
              </w:rPr>
            </w:pPr>
            <w:r>
              <w:rPr>
                <w:sz w:val="20"/>
                <w:szCs w:val="20"/>
              </w:rPr>
              <w:t>Source of data:</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sz w:val="20"/>
                <w:szCs w:val="20"/>
              </w:rPr>
              <w:t>-</w:t>
            </w:r>
          </w:p>
        </w:tc>
      </w:tr>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sz w:val="20"/>
                <w:szCs w:val="20"/>
              </w:rPr>
              <w:t>Measurement</w:t>
            </w:r>
            <w:r>
              <w:rPr>
                <w:sz w:val="20"/>
                <w:szCs w:val="20"/>
              </w:rPr>
              <w:br/>
              <w:t>procedures (if any):</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Records kept in the log book.</w:t>
            </w:r>
          </w:p>
        </w:tc>
      </w:tr>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cs="Arial"/>
                <w:sz w:val="20"/>
                <w:szCs w:val="20"/>
              </w:rPr>
            </w:pPr>
            <w:r>
              <w:rPr>
                <w:sz w:val="20"/>
                <w:szCs w:val="20"/>
              </w:rPr>
              <w:t>Monitoring frequency:</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TableContents"/>
            </w:pPr>
            <w:r>
              <w:rPr>
                <w:rFonts w:cs="Arial"/>
                <w:sz w:val="20"/>
                <w:szCs w:val="20"/>
              </w:rPr>
              <w:t>Annually, based on monthly r</w:t>
            </w:r>
            <w:r>
              <w:rPr>
                <w:rFonts w:cs="Arial"/>
                <w:sz w:val="20"/>
                <w:szCs w:val="20"/>
              </w:rPr>
              <w:t>ecords</w:t>
            </w:r>
          </w:p>
        </w:tc>
      </w:tr>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ascii="Arial" w:hAnsi="Arial" w:cs="Arial"/>
              </w:rPr>
            </w:pPr>
            <w:r>
              <w:rPr>
                <w:sz w:val="20"/>
                <w:szCs w:val="20"/>
              </w:rPr>
              <w:t>QA/QC procedures:</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SDMTableBoxParaNotNumbered"/>
            </w:pPr>
            <w:r>
              <w:rPr>
                <w:rFonts w:ascii="Arial" w:hAnsi="Arial" w:cs="Arial"/>
              </w:rPr>
              <w:t>-</w:t>
            </w:r>
          </w:p>
        </w:tc>
      </w:tr>
      <w:tr w:rsidR="00000000">
        <w:tc>
          <w:tcPr>
            <w:tcW w:w="4199" w:type="dxa"/>
            <w:tcBorders>
              <w:top w:val="single" w:sz="4" w:space="0" w:color="000000"/>
              <w:left w:val="single" w:sz="4" w:space="0" w:color="000000"/>
              <w:bottom w:val="single" w:sz="4" w:space="0" w:color="000000"/>
            </w:tcBorders>
            <w:shd w:val="clear" w:color="auto" w:fill="E6E6E6"/>
          </w:tcPr>
          <w:p w:rsidR="00000000" w:rsidRDefault="003E4221">
            <w:pPr>
              <w:pStyle w:val="TableContents"/>
              <w:rPr>
                <w:rFonts w:ascii="Arial" w:hAnsi="Arial" w:cs="Arial"/>
              </w:rPr>
            </w:pPr>
            <w:r>
              <w:rPr>
                <w:sz w:val="20"/>
                <w:szCs w:val="20"/>
              </w:rPr>
              <w:t>Any comment:</w:t>
            </w:r>
          </w:p>
        </w:tc>
        <w:tc>
          <w:tcPr>
            <w:tcW w:w="5466"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3E4221">
            <w:pPr>
              <w:pStyle w:val="SDMTableBoxParaNotNumbered"/>
            </w:pPr>
            <w:r>
              <w:rPr>
                <w:rFonts w:ascii="Arial" w:hAnsi="Arial" w:cs="Arial"/>
              </w:rPr>
              <w:t>-</w:t>
            </w:r>
            <w:r>
              <w:rPr>
                <w:rFonts w:ascii="Arial" w:hAnsi="Arial" w:cs="Arial"/>
                <w:szCs w:val="20"/>
              </w:rPr>
              <w:t xml:space="preserve">To estimate project emissions </w:t>
            </w:r>
          </w:p>
        </w:tc>
      </w:tr>
    </w:tbl>
    <w:p w:rsidR="003E4221" w:rsidRDefault="003E4221"/>
    <w:sectPr w:rsidR="003E4221">
      <w:footerReference w:type="default" r:id="rId38"/>
      <w:pgSz w:w="11906" w:h="16838"/>
      <w:pgMar w:top="1134" w:right="1134" w:bottom="1601" w:left="1134" w:header="720" w:footer="1134"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4221" w:rsidRDefault="003E4221">
      <w:r>
        <w:separator/>
      </w:r>
    </w:p>
  </w:endnote>
  <w:endnote w:type="continuationSeparator" w:id="1">
    <w:p w:rsidR="003E4221" w:rsidRDefault="003E422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Arial Unicode MS"/>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layfair Display">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Shruti">
    <w:panose1 w:val="020B0502040204020203"/>
    <w:charset w:val="00"/>
    <w:family w:val="swiss"/>
    <w:pitch w:val="variable"/>
    <w:sig w:usb0="0004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E4221">
    <w:pPr>
      <w:spacing w:line="360" w:lineRule="auto"/>
      <w:jc w:val="both"/>
    </w:pPr>
    <w:r>
      <w:rPr>
        <w:rFonts w:ascii="Arial" w:hAnsi="Arial" w:cs="Arial"/>
        <w:color w:val="000000"/>
        <w:sz w:val="16"/>
        <w:szCs w:val="16"/>
      </w:rPr>
      <w:t>©</w:t>
    </w:r>
    <w:r>
      <w:rPr>
        <w:rFonts w:ascii="Arial" w:hAnsi="Arial" w:cs="Arial"/>
        <w:color w:val="000000"/>
        <w:sz w:val="16"/>
        <w:szCs w:val="16"/>
      </w:rPr>
      <w:t xml:space="preserve">  Universal CO2 Emission And Offset Registry Private Ltd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4221" w:rsidRDefault="003E4221">
      <w:r>
        <w:separator/>
      </w:r>
    </w:p>
  </w:footnote>
  <w:footnote w:type="continuationSeparator" w:id="1">
    <w:p w:rsidR="003E4221" w:rsidRDefault="003E42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ascii="Symbol" w:hAnsi="Symbol" w:cs="OpenSymbol"/>
      </w:rPr>
    </w:lvl>
    <w:lvl w:ilvl="1">
      <w:start w:val="1"/>
      <w:numFmt w:val="none"/>
      <w:suff w:val="nothing"/>
      <w:lvlText w:val=""/>
      <w:lvlJc w:val="left"/>
      <w:pPr>
        <w:tabs>
          <w:tab w:val="num" w:pos="0"/>
        </w:tabs>
        <w:ind w:left="576" w:hanging="576"/>
      </w:pPr>
      <w:rPr>
        <w:rFonts w:ascii="OpenSymbol" w:hAnsi="OpenSymbol" w:cs="OpenSymbol"/>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000004"/>
    <w:multiLevelType w:val="multilevel"/>
    <w:tmpl w:val="00000004"/>
    <w:name w:val="WW8Num4"/>
    <w:lvl w:ilvl="0">
      <w:start w:val="1"/>
      <w:numFmt w:val="bullet"/>
      <w:lvlText w:val=""/>
      <w:lvlJc w:val="left"/>
      <w:pPr>
        <w:tabs>
          <w:tab w:val="num" w:pos="780"/>
        </w:tabs>
        <w:ind w:left="780" w:hanging="360"/>
      </w:pPr>
      <w:rPr>
        <w:rFonts w:ascii="Symbol" w:hAnsi="Symbol" w:cs="OpenSymbol"/>
      </w:rPr>
    </w:lvl>
    <w:lvl w:ilvl="1">
      <w:start w:val="1"/>
      <w:numFmt w:val="bullet"/>
      <w:lvlText w:val="◦"/>
      <w:lvlJc w:val="left"/>
      <w:pPr>
        <w:tabs>
          <w:tab w:val="num" w:pos="1140"/>
        </w:tabs>
        <w:ind w:left="1140" w:hanging="360"/>
      </w:pPr>
      <w:rPr>
        <w:rFonts w:ascii="OpenSymbol" w:hAnsi="OpenSymbol" w:cs="OpenSymbol"/>
        <w:shd w:val="clear" w:color="auto" w:fill="auto"/>
      </w:rPr>
    </w:lvl>
    <w:lvl w:ilvl="2">
      <w:start w:val="1"/>
      <w:numFmt w:val="bullet"/>
      <w:lvlText w:val="▪"/>
      <w:lvlJc w:val="left"/>
      <w:pPr>
        <w:tabs>
          <w:tab w:val="num" w:pos="1500"/>
        </w:tabs>
        <w:ind w:left="1500" w:hanging="360"/>
      </w:pPr>
      <w:rPr>
        <w:rFonts w:ascii="OpenSymbol" w:hAnsi="OpenSymbol" w:cs="OpenSymbol"/>
        <w:shd w:val="clear" w:color="auto" w:fill="auto"/>
      </w:rPr>
    </w:lvl>
    <w:lvl w:ilvl="3">
      <w:start w:val="1"/>
      <w:numFmt w:val="bullet"/>
      <w:lvlText w:val=""/>
      <w:lvlJc w:val="left"/>
      <w:pPr>
        <w:tabs>
          <w:tab w:val="num" w:pos="1860"/>
        </w:tabs>
        <w:ind w:left="1860" w:hanging="360"/>
      </w:pPr>
      <w:rPr>
        <w:rFonts w:ascii="Symbol" w:hAnsi="Symbol" w:cs="OpenSymbol"/>
      </w:rPr>
    </w:lvl>
    <w:lvl w:ilvl="4">
      <w:start w:val="1"/>
      <w:numFmt w:val="bullet"/>
      <w:lvlText w:val="◦"/>
      <w:lvlJc w:val="left"/>
      <w:pPr>
        <w:tabs>
          <w:tab w:val="num" w:pos="2220"/>
        </w:tabs>
        <w:ind w:left="2220" w:hanging="360"/>
      </w:pPr>
      <w:rPr>
        <w:rFonts w:ascii="OpenSymbol" w:hAnsi="OpenSymbol" w:cs="OpenSymbol"/>
        <w:shd w:val="clear" w:color="auto" w:fill="auto"/>
      </w:rPr>
    </w:lvl>
    <w:lvl w:ilvl="5">
      <w:start w:val="1"/>
      <w:numFmt w:val="bullet"/>
      <w:lvlText w:val="▪"/>
      <w:lvlJc w:val="left"/>
      <w:pPr>
        <w:tabs>
          <w:tab w:val="num" w:pos="2580"/>
        </w:tabs>
        <w:ind w:left="2580" w:hanging="360"/>
      </w:pPr>
      <w:rPr>
        <w:rFonts w:ascii="OpenSymbol" w:hAnsi="OpenSymbol" w:cs="OpenSymbol"/>
        <w:shd w:val="clear" w:color="auto" w:fill="auto"/>
      </w:rPr>
    </w:lvl>
    <w:lvl w:ilvl="6">
      <w:start w:val="1"/>
      <w:numFmt w:val="bullet"/>
      <w:lvlText w:val=""/>
      <w:lvlJc w:val="left"/>
      <w:pPr>
        <w:tabs>
          <w:tab w:val="num" w:pos="2940"/>
        </w:tabs>
        <w:ind w:left="2940" w:hanging="360"/>
      </w:pPr>
      <w:rPr>
        <w:rFonts w:ascii="Symbol" w:hAnsi="Symbol" w:cs="OpenSymbol"/>
      </w:rPr>
    </w:lvl>
    <w:lvl w:ilvl="7">
      <w:start w:val="1"/>
      <w:numFmt w:val="bullet"/>
      <w:lvlText w:val="◦"/>
      <w:lvlJc w:val="left"/>
      <w:pPr>
        <w:tabs>
          <w:tab w:val="num" w:pos="3300"/>
        </w:tabs>
        <w:ind w:left="3300" w:hanging="360"/>
      </w:pPr>
      <w:rPr>
        <w:rFonts w:ascii="OpenSymbol" w:hAnsi="OpenSymbol" w:cs="OpenSymbol"/>
        <w:shd w:val="clear" w:color="auto" w:fill="auto"/>
      </w:rPr>
    </w:lvl>
    <w:lvl w:ilvl="8">
      <w:start w:val="1"/>
      <w:numFmt w:val="bullet"/>
      <w:lvlText w:val="▪"/>
      <w:lvlJc w:val="left"/>
      <w:pPr>
        <w:tabs>
          <w:tab w:val="num" w:pos="3660"/>
        </w:tabs>
        <w:ind w:left="3660" w:hanging="360"/>
      </w:pPr>
      <w:rPr>
        <w:rFonts w:ascii="OpenSymbol" w:hAnsi="OpenSymbol" w:cs="OpenSymbol"/>
        <w:shd w:val="clear" w:color="auto" w:fill="auto"/>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shd w:val="clear" w:color="auto" w:fill="auto"/>
      </w:rPr>
    </w:lvl>
    <w:lvl w:ilvl="2">
      <w:start w:val="1"/>
      <w:numFmt w:val="bullet"/>
      <w:lvlText w:val="▪"/>
      <w:lvlJc w:val="left"/>
      <w:pPr>
        <w:tabs>
          <w:tab w:val="num" w:pos="1440"/>
        </w:tabs>
        <w:ind w:left="1440" w:hanging="360"/>
      </w:pPr>
      <w:rPr>
        <w:rFonts w:ascii="OpenSymbol" w:hAnsi="OpenSymbol" w:cs="OpenSymbol"/>
        <w:shd w:val="clear" w:color="auto" w:fill="auto"/>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shd w:val="clear" w:color="auto" w:fill="auto"/>
      </w:rPr>
    </w:lvl>
    <w:lvl w:ilvl="5">
      <w:start w:val="1"/>
      <w:numFmt w:val="bullet"/>
      <w:lvlText w:val="▪"/>
      <w:lvlJc w:val="left"/>
      <w:pPr>
        <w:tabs>
          <w:tab w:val="num" w:pos="2520"/>
        </w:tabs>
        <w:ind w:left="2520" w:hanging="360"/>
      </w:pPr>
      <w:rPr>
        <w:rFonts w:ascii="OpenSymbol" w:hAnsi="OpenSymbol" w:cs="OpenSymbol"/>
        <w:shd w:val="clear" w:color="auto" w:fill="auto"/>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shd w:val="clear" w:color="auto" w:fill="auto"/>
      </w:rPr>
    </w:lvl>
    <w:lvl w:ilvl="8">
      <w:start w:val="1"/>
      <w:numFmt w:val="bullet"/>
      <w:lvlText w:val="▪"/>
      <w:lvlJc w:val="left"/>
      <w:pPr>
        <w:tabs>
          <w:tab w:val="num" w:pos="3600"/>
        </w:tabs>
        <w:ind w:left="3600" w:hanging="360"/>
      </w:pPr>
      <w:rPr>
        <w:rFonts w:ascii="OpenSymbol" w:hAnsi="OpenSymbol" w:cs="OpenSymbol"/>
        <w:shd w:val="clear" w:color="auto" w:fill="auto"/>
      </w:rPr>
    </w:lvl>
  </w:abstractNum>
  <w:abstractNum w:abstractNumId="5">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Roman"/>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F1226C"/>
    <w:rsid w:val="003720FA"/>
    <w:rsid w:val="003B0C4F"/>
    <w:rsid w:val="003E4221"/>
    <w:rsid w:val="006870D7"/>
    <w:rsid w:val="0071358B"/>
    <w:rsid w:val="007C2B6F"/>
    <w:rsid w:val="00844826"/>
    <w:rsid w:val="00A66F53"/>
    <w:rsid w:val="00C86971"/>
    <w:rsid w:val="00F1226C"/>
    <w:rsid w:val="00F5359F"/>
  </w:rsids>
  <m:mathPr>
    <m:mathFont m:val="Cambria Math"/>
    <m:brkBin m:val="before"/>
    <m:brkBinSub m:val="--"/>
    <m:smallFrac m:val="off"/>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gu-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eastAsia="SimSun" w:cs="Mangal"/>
      <w:kern w:val="1"/>
      <w:sz w:val="24"/>
      <w:szCs w:val="24"/>
      <w:lang w:val="en-IN" w:eastAsia="hi-IN" w:bidi="hi-IN"/>
    </w:rPr>
  </w:style>
  <w:style w:type="paragraph" w:styleId="Heading1">
    <w:name w:val="heading 1"/>
    <w:basedOn w:val="Heading"/>
    <w:next w:val="BodyText"/>
    <w:qFormat/>
    <w:pPr>
      <w:numPr>
        <w:numId w:val="1"/>
      </w:numPr>
      <w:outlineLvl w:val="0"/>
    </w:pPr>
    <w:rPr>
      <w:b/>
      <w:bCs/>
      <w:sz w:val="32"/>
      <w:szCs w:val="32"/>
    </w:rPr>
  </w:style>
  <w:style w:type="paragraph" w:styleId="Heading3">
    <w:name w:val="heading 3"/>
    <w:basedOn w:val="Heading"/>
    <w:next w:val="BodyText"/>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OpenSymbol"/>
    </w:rPr>
  </w:style>
  <w:style w:type="character" w:customStyle="1" w:styleId="WW8Num2z1">
    <w:name w:val="WW8Num2z1"/>
    <w:rPr>
      <w:rFonts w:ascii="OpenSymbol" w:hAnsi="OpenSymbol" w:cs="OpenSymbol"/>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OpenSymbol"/>
    </w:rPr>
  </w:style>
  <w:style w:type="character" w:customStyle="1" w:styleId="WW8Num3z1">
    <w:name w:val="WW8Num3z1"/>
    <w:rPr>
      <w:rFonts w:ascii="OpenSymbol" w:hAnsi="OpenSymbol" w:cs="OpenSymbol"/>
    </w:rPr>
  </w:style>
  <w:style w:type="character" w:customStyle="1" w:styleId="WW8Num4z0">
    <w:name w:val="WW8Num4z0"/>
    <w:rPr>
      <w:rFonts w:ascii="Symbol" w:hAnsi="Symbol" w:cs="OpenSymbol"/>
    </w:rPr>
  </w:style>
  <w:style w:type="character" w:customStyle="1" w:styleId="WW8Num4z1">
    <w:name w:val="WW8Num4z1"/>
    <w:rPr>
      <w:rFonts w:ascii="OpenSymbol" w:hAnsi="OpenSymbol" w:cs="OpenSymbol"/>
      <w:shd w:val="clear" w:color="auto" w:fill="auto"/>
    </w:rPr>
  </w:style>
  <w:style w:type="character" w:customStyle="1" w:styleId="WW8Num5z0">
    <w:name w:val="WW8Num5z0"/>
    <w:rPr>
      <w:rFonts w:ascii="Symbol" w:hAnsi="Symbol" w:cs="OpenSymbol"/>
    </w:rPr>
  </w:style>
  <w:style w:type="character" w:customStyle="1" w:styleId="WW8Num5z1">
    <w:name w:val="WW8Num5z1"/>
    <w:rPr>
      <w:rFonts w:ascii="OpenSymbol" w:hAnsi="OpenSymbol" w:cs="OpenSymbol"/>
      <w:shd w:val="clear" w:color="auto" w:fill="auto"/>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rPr>
      <w:sz w:val="20"/>
      <w:szCs w:val="20"/>
    </w:rPr>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styleId="Hyperlink">
    <w:name w:val="Hyperlink"/>
    <w:rPr>
      <w:color w:val="000080"/>
      <w:u w:val="single"/>
      <w:lang/>
    </w:rPr>
  </w:style>
  <w:style w:type="character" w:customStyle="1" w:styleId="Bullets">
    <w:name w:val="Bullets"/>
    <w:rPr>
      <w:rFonts w:ascii="OpenSymbol" w:eastAsia="OpenSymbol" w:hAnsi="OpenSymbol" w:cs="OpenSymbol"/>
    </w:rPr>
  </w:style>
  <w:style w:type="character" w:customStyle="1" w:styleId="ListLabel8">
    <w:name w:val="ListLabel 8"/>
    <w:rPr>
      <w:rFonts w:eastAsia="MS Mincho" w:cs="Times New Roman"/>
    </w:rPr>
  </w:style>
  <w:style w:type="character" w:customStyle="1" w:styleId="ListLabel7">
    <w:name w:val="ListLabel 7"/>
    <w:rPr>
      <w:rFonts w:cs="Courier New"/>
    </w:rPr>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Microsoft YaHei"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pPr>
      <w:suppressLineNumbers/>
    </w:pPr>
  </w:style>
  <w:style w:type="paragraph" w:styleId="Footer">
    <w:name w:val="footer"/>
    <w:basedOn w:val="Normal"/>
    <w:pPr>
      <w:suppressLineNumbers/>
      <w:tabs>
        <w:tab w:val="center" w:pos="4819"/>
        <w:tab w:val="right" w:pos="9638"/>
      </w:tabs>
    </w:pPr>
  </w:style>
  <w:style w:type="paragraph" w:customStyle="1" w:styleId="TableHeading">
    <w:name w:val="Table Heading"/>
    <w:basedOn w:val="TableContents"/>
    <w:pPr>
      <w:jc w:val="center"/>
    </w:pPr>
    <w:rPr>
      <w:b/>
      <w:bCs/>
    </w:rPr>
  </w:style>
  <w:style w:type="paragraph" w:customStyle="1" w:styleId="SDMSubPara1">
    <w:name w:val="SDMSubPara1"/>
    <w:basedOn w:val="Normal"/>
    <w:pPr>
      <w:numPr>
        <w:numId w:val="2"/>
      </w:numPr>
      <w:spacing w:before="180"/>
    </w:pPr>
    <w:rPr>
      <w:rFonts w:cs="Arial"/>
      <w:szCs w:val="22"/>
    </w:rPr>
  </w:style>
  <w:style w:type="paragraph" w:customStyle="1" w:styleId="SDMDocRef">
    <w:name w:val="SDMDocRef"/>
    <w:basedOn w:val="Normal"/>
    <w:pPr>
      <w:spacing w:before="100"/>
    </w:pPr>
    <w:rPr>
      <w:b/>
      <w:caps/>
      <w:sz w:val="28"/>
    </w:rPr>
  </w:style>
  <w:style w:type="paragraph" w:customStyle="1" w:styleId="SDMPara">
    <w:name w:val="SDMPara"/>
    <w:basedOn w:val="Normal"/>
    <w:pPr>
      <w:spacing w:before="180"/>
    </w:pPr>
    <w:rPr>
      <w:rFonts w:cs="Arial"/>
      <w:szCs w:val="22"/>
    </w:rPr>
  </w:style>
  <w:style w:type="paragraph" w:customStyle="1" w:styleId="caption0">
    <w:name w:val="caption"/>
    <w:basedOn w:val="Normal"/>
    <w:pPr>
      <w:keepNext/>
      <w:keepLines/>
      <w:tabs>
        <w:tab w:val="left" w:pos="3090"/>
        <w:tab w:val="left" w:pos="3912"/>
        <w:tab w:val="left" w:pos="4082"/>
        <w:tab w:val="left" w:pos="4649"/>
        <w:tab w:val="left" w:pos="5216"/>
      </w:tabs>
      <w:spacing w:before="320" w:after="120"/>
      <w:ind w:left="1956" w:hanging="1247"/>
    </w:pPr>
    <w:rPr>
      <w:b/>
      <w:bCs/>
      <w:sz w:val="20"/>
    </w:rPr>
  </w:style>
  <w:style w:type="paragraph" w:customStyle="1" w:styleId="SDMMethCaptionEquationParametersTable">
    <w:name w:val="SDMMethCaptionEquationParametersTable"/>
    <w:basedOn w:val="caption0"/>
    <w:pPr>
      <w:spacing w:before="180" w:after="0"/>
    </w:pPr>
    <w:rPr>
      <w:b w:val="0"/>
      <w:sz w:val="22"/>
    </w:rPr>
  </w:style>
  <w:style w:type="paragraph" w:customStyle="1" w:styleId="SDMTableBoxParaNotNumbered">
    <w:name w:val="SDMTable&amp;BoxParaNotNumbered"/>
    <w:basedOn w:val="Normal"/>
    <w:rPr>
      <w:sz w:val="20"/>
    </w:rPr>
  </w:style>
  <w:style w:type="paragraph" w:customStyle="1" w:styleId="Objectwitharrow">
    <w:name w:val="Object with arrow"/>
    <w:basedOn w:val="Normal"/>
  </w:style>
  <w:style w:type="paragraph" w:customStyle="1" w:styleId="Objectwithshadow">
    <w:name w:val="Object with shadow"/>
    <w:basedOn w:val="Normal"/>
  </w:style>
  <w:style w:type="paragraph" w:customStyle="1" w:styleId="Objectwithoutfill">
    <w:name w:val="Object without fill"/>
    <w:basedOn w:val="Normal"/>
  </w:style>
  <w:style w:type="paragraph" w:customStyle="1" w:styleId="Objectwithnofillandnoline">
    <w:name w:val="Object with no fill and no line"/>
    <w:basedOn w:val="Normal"/>
  </w:style>
  <w:style w:type="paragraph" w:customStyle="1" w:styleId="Text">
    <w:name w:val="Text"/>
    <w:basedOn w:val="Caption"/>
  </w:style>
  <w:style w:type="paragraph" w:customStyle="1" w:styleId="Textbodyjustified">
    <w:name w:val="Text body justified"/>
    <w:basedOn w:val="Normal"/>
  </w:style>
  <w:style w:type="paragraph" w:styleId="BodyTextFirstIndent">
    <w:name w:val="Body Text First Indent"/>
    <w:basedOn w:val="BodyText"/>
    <w:pPr>
      <w:ind w:firstLine="283"/>
    </w:pPr>
  </w:style>
  <w:style w:type="paragraph" w:styleId="Title">
    <w:name w:val="Title"/>
    <w:basedOn w:val="Heading"/>
    <w:next w:val="Subtitle"/>
    <w:qFormat/>
    <w:pPr>
      <w:jc w:val="center"/>
    </w:pPr>
    <w:rPr>
      <w:b/>
      <w:bCs/>
      <w:sz w:val="36"/>
      <w:szCs w:val="36"/>
    </w:rPr>
  </w:style>
  <w:style w:type="paragraph" w:styleId="Subtitle">
    <w:name w:val="Subtitle"/>
    <w:basedOn w:val="Heading"/>
    <w:next w:val="BodyText"/>
    <w:qFormat/>
    <w:pPr>
      <w:jc w:val="center"/>
    </w:pPr>
    <w:rPr>
      <w:i/>
      <w:iCs/>
    </w:rPr>
  </w:style>
  <w:style w:type="paragraph" w:customStyle="1" w:styleId="Title1">
    <w:name w:val="Title1"/>
    <w:basedOn w:val="Normal"/>
    <w:pPr>
      <w:jc w:val="center"/>
    </w:pPr>
  </w:style>
  <w:style w:type="paragraph" w:customStyle="1" w:styleId="Title2">
    <w:name w:val="Title2"/>
    <w:basedOn w:val="Normal"/>
    <w:pPr>
      <w:spacing w:before="57" w:after="57"/>
      <w:ind w:right="113"/>
      <w:jc w:val="center"/>
    </w:pPr>
  </w:style>
  <w:style w:type="paragraph" w:customStyle="1" w:styleId="Heading10">
    <w:name w:val="Heading1"/>
    <w:basedOn w:val="Normal"/>
    <w:pPr>
      <w:spacing w:before="238" w:after="119"/>
    </w:pPr>
  </w:style>
  <w:style w:type="paragraph" w:customStyle="1" w:styleId="Heading2">
    <w:name w:val="Heading2"/>
    <w:basedOn w:val="Normal"/>
    <w:pPr>
      <w:spacing w:before="238" w:after="119"/>
    </w:pPr>
  </w:style>
  <w:style w:type="paragraph" w:customStyle="1" w:styleId="DimensionLine">
    <w:name w:val="Dimension Line"/>
    <w:basedOn w:val="Normal"/>
  </w:style>
  <w:style w:type="paragraph" w:customStyle="1" w:styleId="DefaultLTGliederung1">
    <w:name w:val="Default~LT~Gliederung 1"/>
    <w:pPr>
      <w:widowControl w:val="0"/>
      <w:suppressAutoHyphens/>
      <w:autoSpaceDE w:val="0"/>
      <w:spacing w:after="283"/>
    </w:pPr>
    <w:rPr>
      <w:rFonts w:ascii="Mangal" w:eastAsia="Mangal" w:hAnsi="Mangal" w:cs="Mangal"/>
      <w:color w:val="000000"/>
      <w:kern w:val="1"/>
      <w:sz w:val="64"/>
      <w:szCs w:val="64"/>
      <w:lang w:val="en-IN" w:eastAsia="hi-IN" w:bidi="hi-IN"/>
    </w:rPr>
  </w:style>
  <w:style w:type="paragraph" w:customStyle="1" w:styleId="DefaultLTGliederung2">
    <w:name w:val="Default~LT~Gliederung 2"/>
    <w:basedOn w:val="DefaultLTGliederung1"/>
    <w:pPr>
      <w:spacing w:after="227"/>
    </w:pPr>
    <w:rPr>
      <w:sz w:val="48"/>
      <w:szCs w:val="48"/>
    </w:rPr>
  </w:style>
  <w:style w:type="paragraph" w:customStyle="1" w:styleId="DefaultLTGliederung3">
    <w:name w:val="Default~LT~Gliederung 3"/>
    <w:basedOn w:val="DefaultLTGliederung2"/>
    <w:pPr>
      <w:spacing w:after="170"/>
    </w:pPr>
    <w:rPr>
      <w:sz w:val="40"/>
      <w:szCs w:val="40"/>
    </w:rPr>
  </w:style>
  <w:style w:type="paragraph" w:customStyle="1" w:styleId="DefaultLTGliederung4">
    <w:name w:val="Default~LT~Gliederung 4"/>
    <w:basedOn w:val="DefaultLTGliederung3"/>
    <w:pPr>
      <w:spacing w:after="113"/>
    </w:pPr>
  </w:style>
  <w:style w:type="paragraph" w:customStyle="1" w:styleId="DefaultLTGliederung5">
    <w:name w:val="Default~LT~Gliederung 5"/>
    <w:basedOn w:val="DefaultLTGliederung4"/>
    <w:pPr>
      <w:spacing w:after="57"/>
    </w:pPr>
  </w:style>
  <w:style w:type="paragraph" w:customStyle="1" w:styleId="DefaultLTGliederung6">
    <w:name w:val="Default~LT~Gliederung 6"/>
    <w:basedOn w:val="DefaultLTGliederung5"/>
  </w:style>
  <w:style w:type="paragraph" w:customStyle="1" w:styleId="DefaultLTGliederung7">
    <w:name w:val="Default~LT~Gliederung 7"/>
    <w:basedOn w:val="DefaultLTGliederung6"/>
  </w:style>
  <w:style w:type="paragraph" w:customStyle="1" w:styleId="DefaultLTGliederung8">
    <w:name w:val="Default~LT~Gliederung 8"/>
    <w:basedOn w:val="DefaultLTGliederung7"/>
  </w:style>
  <w:style w:type="paragraph" w:customStyle="1" w:styleId="DefaultLTGliederung9">
    <w:name w:val="Default~LT~Gliederung 9"/>
    <w:basedOn w:val="DefaultLTGliederung8"/>
  </w:style>
  <w:style w:type="paragraph" w:customStyle="1" w:styleId="DefaultLTTitel">
    <w:name w:val="Default~LT~Titel"/>
    <w:pPr>
      <w:widowControl w:val="0"/>
      <w:suppressAutoHyphens/>
      <w:autoSpaceDE w:val="0"/>
    </w:pPr>
    <w:rPr>
      <w:rFonts w:ascii="Mangal" w:eastAsia="Mangal" w:hAnsi="Mangal" w:cs="Mangal"/>
      <w:color w:val="000000"/>
      <w:kern w:val="1"/>
      <w:sz w:val="36"/>
      <w:szCs w:val="36"/>
      <w:lang w:val="en-IN" w:eastAsia="hi-IN" w:bidi="hi-IN"/>
    </w:rPr>
  </w:style>
  <w:style w:type="paragraph" w:customStyle="1" w:styleId="DefaultLTUntertitel">
    <w:name w:val="Default~LT~Untertitel"/>
    <w:pPr>
      <w:widowControl w:val="0"/>
      <w:suppressAutoHyphens/>
      <w:autoSpaceDE w:val="0"/>
      <w:jc w:val="center"/>
    </w:pPr>
    <w:rPr>
      <w:rFonts w:ascii="Mangal" w:eastAsia="Mangal" w:hAnsi="Mangal" w:cs="Mangal"/>
      <w:kern w:val="1"/>
      <w:sz w:val="64"/>
      <w:szCs w:val="64"/>
      <w:lang w:val="en-IN" w:eastAsia="hi-IN" w:bidi="hi-IN"/>
    </w:rPr>
  </w:style>
  <w:style w:type="paragraph" w:customStyle="1" w:styleId="DefaultLTNotizen">
    <w:name w:val="Default~LT~Notizen"/>
    <w:pPr>
      <w:widowControl w:val="0"/>
      <w:suppressAutoHyphens/>
      <w:autoSpaceDE w:val="0"/>
      <w:ind w:left="340" w:hanging="340"/>
    </w:pPr>
    <w:rPr>
      <w:rFonts w:ascii="Mangal" w:eastAsia="Mangal" w:hAnsi="Mangal" w:cs="Mangal"/>
      <w:kern w:val="1"/>
      <w:sz w:val="40"/>
      <w:szCs w:val="40"/>
      <w:lang w:val="en-IN" w:eastAsia="hi-IN" w:bidi="hi-IN"/>
    </w:rPr>
  </w:style>
  <w:style w:type="paragraph" w:customStyle="1" w:styleId="DefaultLTHintergrundobjekte">
    <w:name w:val="Default~LT~Hintergrundobjekte"/>
    <w:pPr>
      <w:widowControl w:val="0"/>
      <w:suppressAutoHyphens/>
      <w:autoSpaceDE w:val="0"/>
    </w:pPr>
    <w:rPr>
      <w:rFonts w:eastAsia="SimSun" w:cs="Mangal"/>
      <w:kern w:val="1"/>
      <w:sz w:val="24"/>
      <w:szCs w:val="24"/>
      <w:lang w:val="en-IN" w:eastAsia="hi-IN" w:bidi="hi-IN"/>
    </w:rPr>
  </w:style>
  <w:style w:type="paragraph" w:customStyle="1" w:styleId="DefaultLTHintergrund">
    <w:name w:val="Default~LT~Hintergrund"/>
    <w:pPr>
      <w:widowControl w:val="0"/>
      <w:suppressAutoHyphens/>
      <w:autoSpaceDE w:val="0"/>
    </w:pPr>
    <w:rPr>
      <w:rFonts w:eastAsia="SimSun" w:cs="Mangal"/>
      <w:kern w:val="1"/>
      <w:sz w:val="24"/>
      <w:szCs w:val="24"/>
      <w:lang w:val="en-IN" w:eastAsia="hi-IN" w:bidi="hi-IN"/>
    </w:rPr>
  </w:style>
  <w:style w:type="paragraph" w:customStyle="1" w:styleId="default">
    <w:name w:val="default"/>
    <w:pPr>
      <w:widowControl w:val="0"/>
      <w:suppressAutoHyphens/>
      <w:autoSpaceDE w:val="0"/>
      <w:spacing w:line="200" w:lineRule="atLeast"/>
    </w:pPr>
    <w:rPr>
      <w:rFonts w:ascii="Mangal" w:eastAsia="Mangal" w:hAnsi="Mangal" w:cs="Mangal"/>
      <w:kern w:val="1"/>
      <w:sz w:val="36"/>
      <w:szCs w:val="36"/>
      <w:lang w:val="en-IN" w:eastAsia="hi-IN" w:bidi="hi-IN"/>
    </w:rPr>
  </w:style>
  <w:style w:type="paragraph" w:customStyle="1" w:styleId="blue1">
    <w:name w:val="blue1"/>
    <w:basedOn w:val="default"/>
  </w:style>
  <w:style w:type="paragraph" w:customStyle="1" w:styleId="blue2">
    <w:name w:val="blue2"/>
    <w:basedOn w:val="default"/>
  </w:style>
  <w:style w:type="paragraph" w:customStyle="1" w:styleId="blue3">
    <w:name w:val="blue3"/>
    <w:basedOn w:val="default"/>
  </w:style>
  <w:style w:type="paragraph" w:customStyle="1" w:styleId="bw1">
    <w:name w:val="bw1"/>
    <w:basedOn w:val="default"/>
  </w:style>
  <w:style w:type="paragraph" w:customStyle="1" w:styleId="bw2">
    <w:name w:val="bw2"/>
    <w:basedOn w:val="default"/>
  </w:style>
  <w:style w:type="paragraph" w:customStyle="1" w:styleId="bw3">
    <w:name w:val="bw3"/>
    <w:basedOn w:val="default"/>
  </w:style>
  <w:style w:type="paragraph" w:customStyle="1" w:styleId="orange1">
    <w:name w:val="orange1"/>
    <w:basedOn w:val="default"/>
  </w:style>
  <w:style w:type="paragraph" w:customStyle="1" w:styleId="orange2">
    <w:name w:val="orange2"/>
    <w:basedOn w:val="default"/>
  </w:style>
  <w:style w:type="paragraph" w:customStyle="1" w:styleId="orange3">
    <w:name w:val="orange3"/>
    <w:basedOn w:val="default"/>
  </w:style>
  <w:style w:type="paragraph" w:customStyle="1" w:styleId="turquise1">
    <w:name w:val="turquise1"/>
    <w:basedOn w:val="default"/>
  </w:style>
  <w:style w:type="paragraph" w:customStyle="1" w:styleId="turquise2">
    <w:name w:val="turquise2"/>
    <w:basedOn w:val="default"/>
  </w:style>
  <w:style w:type="paragraph" w:customStyle="1" w:styleId="turquise3">
    <w:name w:val="turquise3"/>
    <w:basedOn w:val="default"/>
  </w:style>
  <w:style w:type="paragraph" w:customStyle="1" w:styleId="gray1">
    <w:name w:val="gray1"/>
    <w:basedOn w:val="default"/>
  </w:style>
  <w:style w:type="paragraph" w:customStyle="1" w:styleId="gray2">
    <w:name w:val="gray2"/>
    <w:basedOn w:val="default"/>
  </w:style>
  <w:style w:type="paragraph" w:customStyle="1" w:styleId="gray3">
    <w:name w:val="gray3"/>
    <w:basedOn w:val="default"/>
  </w:style>
  <w:style w:type="paragraph" w:customStyle="1" w:styleId="sun1">
    <w:name w:val="sun1"/>
    <w:basedOn w:val="default"/>
  </w:style>
  <w:style w:type="paragraph" w:customStyle="1" w:styleId="sun2">
    <w:name w:val="sun2"/>
    <w:basedOn w:val="default"/>
  </w:style>
  <w:style w:type="paragraph" w:customStyle="1" w:styleId="sun3">
    <w:name w:val="sun3"/>
    <w:basedOn w:val="default"/>
  </w:style>
  <w:style w:type="paragraph" w:customStyle="1" w:styleId="earth1">
    <w:name w:val="earth1"/>
    <w:basedOn w:val="default"/>
  </w:style>
  <w:style w:type="paragraph" w:customStyle="1" w:styleId="earth2">
    <w:name w:val="earth2"/>
    <w:basedOn w:val="default"/>
  </w:style>
  <w:style w:type="paragraph" w:customStyle="1" w:styleId="earth3">
    <w:name w:val="earth3"/>
    <w:basedOn w:val="default"/>
  </w:style>
  <w:style w:type="paragraph" w:customStyle="1" w:styleId="green1">
    <w:name w:val="green1"/>
    <w:basedOn w:val="default"/>
  </w:style>
  <w:style w:type="paragraph" w:customStyle="1" w:styleId="green2">
    <w:name w:val="green2"/>
    <w:basedOn w:val="default"/>
  </w:style>
  <w:style w:type="paragraph" w:customStyle="1" w:styleId="green3">
    <w:name w:val="green3"/>
    <w:basedOn w:val="default"/>
  </w:style>
  <w:style w:type="paragraph" w:customStyle="1" w:styleId="seetang1">
    <w:name w:val="seetang1"/>
    <w:basedOn w:val="default"/>
  </w:style>
  <w:style w:type="paragraph" w:customStyle="1" w:styleId="seetang2">
    <w:name w:val="seetang2"/>
    <w:basedOn w:val="default"/>
  </w:style>
  <w:style w:type="paragraph" w:customStyle="1" w:styleId="seetang3">
    <w:name w:val="seetang3"/>
    <w:basedOn w:val="default"/>
  </w:style>
  <w:style w:type="paragraph" w:customStyle="1" w:styleId="lightblue1">
    <w:name w:val="lightblue1"/>
    <w:basedOn w:val="default"/>
  </w:style>
  <w:style w:type="paragraph" w:customStyle="1" w:styleId="lightblue2">
    <w:name w:val="lightblue2"/>
    <w:basedOn w:val="default"/>
  </w:style>
  <w:style w:type="paragraph" w:customStyle="1" w:styleId="lightblue3">
    <w:name w:val="lightblue3"/>
    <w:basedOn w:val="default"/>
  </w:style>
  <w:style w:type="paragraph" w:customStyle="1" w:styleId="yellow1">
    <w:name w:val="yellow1"/>
    <w:basedOn w:val="default"/>
  </w:style>
  <w:style w:type="paragraph" w:customStyle="1" w:styleId="yellow2">
    <w:name w:val="yellow2"/>
    <w:basedOn w:val="default"/>
  </w:style>
  <w:style w:type="paragraph" w:customStyle="1" w:styleId="yellow3">
    <w:name w:val="yellow3"/>
    <w:basedOn w:val="default"/>
  </w:style>
  <w:style w:type="paragraph" w:customStyle="1" w:styleId="WW-Title">
    <w:name w:val="WW-Title"/>
    <w:pPr>
      <w:widowControl w:val="0"/>
      <w:suppressAutoHyphens/>
      <w:autoSpaceDE w:val="0"/>
    </w:pPr>
    <w:rPr>
      <w:rFonts w:ascii="Mangal" w:eastAsia="Mangal" w:hAnsi="Mangal" w:cs="Mangal"/>
      <w:color w:val="000000"/>
      <w:kern w:val="1"/>
      <w:sz w:val="36"/>
      <w:szCs w:val="36"/>
      <w:lang w:val="en-IN" w:eastAsia="hi-IN" w:bidi="hi-IN"/>
    </w:rPr>
  </w:style>
  <w:style w:type="paragraph" w:customStyle="1" w:styleId="Backgroundobjects">
    <w:name w:val="Background objects"/>
    <w:pPr>
      <w:widowControl w:val="0"/>
      <w:suppressAutoHyphens/>
      <w:autoSpaceDE w:val="0"/>
    </w:pPr>
    <w:rPr>
      <w:rFonts w:eastAsia="SimSun" w:cs="Mangal"/>
      <w:kern w:val="1"/>
      <w:sz w:val="24"/>
      <w:szCs w:val="24"/>
      <w:lang w:val="en-IN" w:eastAsia="hi-IN" w:bidi="hi-IN"/>
    </w:rPr>
  </w:style>
  <w:style w:type="paragraph" w:customStyle="1" w:styleId="Background">
    <w:name w:val="Background"/>
    <w:pPr>
      <w:widowControl w:val="0"/>
      <w:suppressAutoHyphens/>
      <w:autoSpaceDE w:val="0"/>
    </w:pPr>
    <w:rPr>
      <w:rFonts w:eastAsia="SimSun" w:cs="Mangal"/>
      <w:kern w:val="1"/>
      <w:sz w:val="24"/>
      <w:szCs w:val="24"/>
      <w:lang w:val="en-IN" w:eastAsia="hi-IN" w:bidi="hi-IN"/>
    </w:rPr>
  </w:style>
  <w:style w:type="paragraph" w:customStyle="1" w:styleId="Notes">
    <w:name w:val="Notes"/>
    <w:pPr>
      <w:widowControl w:val="0"/>
      <w:suppressAutoHyphens/>
      <w:autoSpaceDE w:val="0"/>
      <w:ind w:left="340" w:hanging="340"/>
    </w:pPr>
    <w:rPr>
      <w:rFonts w:ascii="Mangal" w:eastAsia="Mangal" w:hAnsi="Mangal" w:cs="Mangal"/>
      <w:kern w:val="1"/>
      <w:sz w:val="40"/>
      <w:szCs w:val="40"/>
      <w:lang w:val="en-IN" w:eastAsia="hi-IN" w:bidi="hi-IN"/>
    </w:rPr>
  </w:style>
  <w:style w:type="paragraph" w:customStyle="1" w:styleId="Outline1">
    <w:name w:val="Outline 1"/>
    <w:pPr>
      <w:widowControl w:val="0"/>
      <w:suppressAutoHyphens/>
      <w:autoSpaceDE w:val="0"/>
      <w:spacing w:after="283"/>
    </w:pPr>
    <w:rPr>
      <w:rFonts w:ascii="Mangal" w:eastAsia="Mangal" w:hAnsi="Mangal" w:cs="Mangal"/>
      <w:color w:val="000000"/>
      <w:kern w:val="1"/>
      <w:sz w:val="64"/>
      <w:szCs w:val="64"/>
      <w:lang w:val="en-IN" w:eastAsia="hi-IN" w:bidi="hi-IN"/>
    </w:rPr>
  </w:style>
  <w:style w:type="paragraph" w:customStyle="1" w:styleId="Outline2">
    <w:name w:val="Outline 2"/>
    <w:basedOn w:val="Outline1"/>
    <w:pPr>
      <w:spacing w:after="227"/>
    </w:pPr>
    <w:rPr>
      <w:sz w:val="48"/>
      <w:szCs w:val="48"/>
    </w:rPr>
  </w:style>
  <w:style w:type="paragraph" w:customStyle="1" w:styleId="Outline3">
    <w:name w:val="Outline 3"/>
    <w:basedOn w:val="Outline2"/>
    <w:pPr>
      <w:spacing w:after="170"/>
    </w:pPr>
    <w:rPr>
      <w:sz w:val="40"/>
      <w:szCs w:val="40"/>
    </w:rPr>
  </w:style>
  <w:style w:type="paragraph" w:customStyle="1" w:styleId="Outline4">
    <w:name w:val="Outline 4"/>
    <w:basedOn w:val="Outline3"/>
    <w:pPr>
      <w:spacing w:after="113"/>
    </w:pPr>
  </w:style>
  <w:style w:type="paragraph" w:customStyle="1" w:styleId="Outline5">
    <w:name w:val="Outline 5"/>
    <w:basedOn w:val="Outline4"/>
    <w:pPr>
      <w:spacing w:after="57"/>
    </w:pPr>
  </w:style>
  <w:style w:type="paragraph" w:customStyle="1" w:styleId="Outline6">
    <w:name w:val="Outline 6"/>
    <w:basedOn w:val="Outline5"/>
  </w:style>
  <w:style w:type="paragraph" w:customStyle="1" w:styleId="Outline7">
    <w:name w:val="Outline 7"/>
    <w:basedOn w:val="Outline6"/>
  </w:style>
  <w:style w:type="paragraph" w:customStyle="1" w:styleId="Outline8">
    <w:name w:val="Outline 8"/>
    <w:basedOn w:val="Outline7"/>
  </w:style>
  <w:style w:type="paragraph" w:customStyle="1" w:styleId="Outline9">
    <w:name w:val="Outline 9"/>
    <w:basedOn w:val="Outline8"/>
  </w:style>
  <w:style w:type="paragraph" w:customStyle="1" w:styleId="Default1LTGliederung1">
    <w:name w:val="Default 1~LT~Gliederung 1"/>
    <w:pPr>
      <w:widowControl w:val="0"/>
      <w:suppressAutoHyphens/>
      <w:autoSpaceDE w:val="0"/>
      <w:spacing w:after="283"/>
    </w:pPr>
    <w:rPr>
      <w:rFonts w:ascii="Mangal" w:eastAsia="Mangal" w:hAnsi="Mangal" w:cs="Mangal"/>
      <w:color w:val="000000"/>
      <w:kern w:val="1"/>
      <w:sz w:val="64"/>
      <w:szCs w:val="64"/>
      <w:lang w:val="en-IN" w:eastAsia="hi-IN" w:bidi="hi-IN"/>
    </w:rPr>
  </w:style>
  <w:style w:type="paragraph" w:customStyle="1" w:styleId="Default1LTGliederung2">
    <w:name w:val="Default 1~LT~Gliederung 2"/>
    <w:basedOn w:val="Default1LTGliederung1"/>
    <w:pPr>
      <w:spacing w:after="227"/>
    </w:pPr>
    <w:rPr>
      <w:sz w:val="48"/>
      <w:szCs w:val="48"/>
    </w:rPr>
  </w:style>
  <w:style w:type="paragraph" w:customStyle="1" w:styleId="Default1LTGliederung3">
    <w:name w:val="Default 1~LT~Gliederung 3"/>
    <w:basedOn w:val="Default1LTGliederung2"/>
    <w:pPr>
      <w:spacing w:after="170"/>
    </w:pPr>
    <w:rPr>
      <w:sz w:val="40"/>
      <w:szCs w:val="40"/>
    </w:rPr>
  </w:style>
  <w:style w:type="paragraph" w:customStyle="1" w:styleId="Default1LTGliederung4">
    <w:name w:val="Default 1~LT~Gliederung 4"/>
    <w:basedOn w:val="Default1LTGliederung3"/>
    <w:pPr>
      <w:spacing w:after="113"/>
    </w:pPr>
  </w:style>
  <w:style w:type="paragraph" w:customStyle="1" w:styleId="Default1LTGliederung5">
    <w:name w:val="Default 1~LT~Gliederung 5"/>
    <w:basedOn w:val="Default1LTGliederung4"/>
    <w:pPr>
      <w:spacing w:after="57"/>
    </w:pPr>
  </w:style>
  <w:style w:type="paragraph" w:customStyle="1" w:styleId="Default1LTGliederung6">
    <w:name w:val="Default 1~LT~Gliederung 6"/>
    <w:basedOn w:val="Default1LTGliederung5"/>
  </w:style>
  <w:style w:type="paragraph" w:customStyle="1" w:styleId="Default1LTGliederung7">
    <w:name w:val="Default 1~LT~Gliederung 7"/>
    <w:basedOn w:val="Default1LTGliederung6"/>
  </w:style>
  <w:style w:type="paragraph" w:customStyle="1" w:styleId="Default1LTGliederung8">
    <w:name w:val="Default 1~LT~Gliederung 8"/>
    <w:basedOn w:val="Default1LTGliederung7"/>
  </w:style>
  <w:style w:type="paragraph" w:customStyle="1" w:styleId="Default1LTGliederung9">
    <w:name w:val="Default 1~LT~Gliederung 9"/>
    <w:basedOn w:val="Default1LTGliederung8"/>
  </w:style>
  <w:style w:type="paragraph" w:customStyle="1" w:styleId="Default1LTTitel">
    <w:name w:val="Default 1~LT~Titel"/>
    <w:pPr>
      <w:widowControl w:val="0"/>
      <w:suppressAutoHyphens/>
      <w:autoSpaceDE w:val="0"/>
    </w:pPr>
    <w:rPr>
      <w:rFonts w:ascii="Mangal" w:eastAsia="Mangal" w:hAnsi="Mangal" w:cs="Mangal"/>
      <w:color w:val="000000"/>
      <w:kern w:val="1"/>
      <w:sz w:val="36"/>
      <w:szCs w:val="36"/>
      <w:lang w:val="en-IN" w:eastAsia="hi-IN" w:bidi="hi-IN"/>
    </w:rPr>
  </w:style>
  <w:style w:type="paragraph" w:customStyle="1" w:styleId="Default1LTUntertitel">
    <w:name w:val="Default 1~LT~Untertitel"/>
    <w:pPr>
      <w:widowControl w:val="0"/>
      <w:suppressAutoHyphens/>
      <w:autoSpaceDE w:val="0"/>
      <w:jc w:val="center"/>
    </w:pPr>
    <w:rPr>
      <w:rFonts w:ascii="Mangal" w:eastAsia="Mangal" w:hAnsi="Mangal" w:cs="Mangal"/>
      <w:kern w:val="1"/>
      <w:sz w:val="64"/>
      <w:szCs w:val="64"/>
      <w:lang w:val="en-IN" w:eastAsia="hi-IN" w:bidi="hi-IN"/>
    </w:rPr>
  </w:style>
  <w:style w:type="paragraph" w:customStyle="1" w:styleId="Default1LTNotizen">
    <w:name w:val="Default 1~LT~Notizen"/>
    <w:pPr>
      <w:widowControl w:val="0"/>
      <w:suppressAutoHyphens/>
      <w:autoSpaceDE w:val="0"/>
      <w:ind w:left="340" w:hanging="340"/>
    </w:pPr>
    <w:rPr>
      <w:rFonts w:ascii="Mangal" w:eastAsia="Mangal" w:hAnsi="Mangal" w:cs="Mangal"/>
      <w:kern w:val="1"/>
      <w:sz w:val="40"/>
      <w:szCs w:val="40"/>
      <w:lang w:val="en-IN" w:eastAsia="hi-IN" w:bidi="hi-IN"/>
    </w:rPr>
  </w:style>
  <w:style w:type="paragraph" w:customStyle="1" w:styleId="Default1LTHintergrundobjekte">
    <w:name w:val="Default 1~LT~Hintergrundobjekte"/>
    <w:pPr>
      <w:widowControl w:val="0"/>
      <w:suppressAutoHyphens/>
      <w:autoSpaceDE w:val="0"/>
    </w:pPr>
    <w:rPr>
      <w:rFonts w:eastAsia="SimSun" w:cs="Mangal"/>
      <w:kern w:val="1"/>
      <w:sz w:val="24"/>
      <w:szCs w:val="24"/>
      <w:lang w:val="en-IN" w:eastAsia="hi-IN" w:bidi="hi-IN"/>
    </w:rPr>
  </w:style>
  <w:style w:type="paragraph" w:customStyle="1" w:styleId="Default1LTHintergrund">
    <w:name w:val="Default 1~LT~Hintergrund"/>
    <w:pPr>
      <w:widowControl w:val="0"/>
      <w:suppressAutoHyphens/>
      <w:autoSpaceDE w:val="0"/>
    </w:pPr>
    <w:rPr>
      <w:rFonts w:eastAsia="SimSun" w:cs="Mangal"/>
      <w:kern w:val="1"/>
      <w:sz w:val="24"/>
      <w:szCs w:val="24"/>
      <w:lang w:val="en-IN" w:eastAsia="hi-IN" w:bidi="hi-IN"/>
    </w:rPr>
  </w:style>
  <w:style w:type="paragraph" w:styleId="Header">
    <w:name w:val="header"/>
    <w:basedOn w:val="Normal"/>
    <w:pPr>
      <w:suppressLineNumbers/>
      <w:tabs>
        <w:tab w:val="center" w:pos="4819"/>
        <w:tab w:val="right" w:pos="9638"/>
      </w:tabs>
    </w:pPr>
  </w:style>
  <w:style w:type="paragraph" w:styleId="BalloonText">
    <w:name w:val="Balloon Text"/>
    <w:basedOn w:val="Normal"/>
    <w:link w:val="BalloonTextChar"/>
    <w:uiPriority w:val="99"/>
    <w:semiHidden/>
    <w:unhideWhenUsed/>
    <w:rsid w:val="00844826"/>
    <w:rPr>
      <w:rFonts w:ascii="Tahoma" w:hAnsi="Tahoma"/>
      <w:sz w:val="16"/>
      <w:szCs w:val="14"/>
    </w:rPr>
  </w:style>
  <w:style w:type="character" w:customStyle="1" w:styleId="BalloonTextChar">
    <w:name w:val="Balloon Text Char"/>
    <w:basedOn w:val="DefaultParagraphFont"/>
    <w:link w:val="BalloonText"/>
    <w:uiPriority w:val="99"/>
    <w:semiHidden/>
    <w:rsid w:val="00844826"/>
    <w:rPr>
      <w:rFonts w:ascii="Tahoma" w:eastAsia="SimSun" w:hAnsi="Tahoma" w:cs="Mangal"/>
      <w:kern w:val="1"/>
      <w:sz w:val="16"/>
      <w:szCs w:val="14"/>
      <w:lang w:val="en-IN" w:eastAsia="hi-I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7.emf"/><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fp.co.in/6268/lamdeng-waste-to-energy-plant-inaugurated" TargetMode="External"/><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oleObject" Target="embeddings/oleObject2.bin"/><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8.emf"/><Relationship Id="rId10" Type="http://schemas.openxmlformats.org/officeDocument/2006/relationships/image" Target="media/image4.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23</Pages>
  <Words>4000</Words>
  <Characters>22805</Characters>
  <Application>Microsoft Office Word</Application>
  <DocSecurity>0</DocSecurity>
  <Lines>190</Lines>
  <Paragraphs>53</Paragraphs>
  <ScaleCrop>false</ScaleCrop>
  <Company>Grizli777</Company>
  <LinksUpToDate>false</LinksUpToDate>
  <CharactersWithSpaces>26752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Maverik Inc</dc:creator>
  <cp:lastModifiedBy>Maverik Inc</cp:lastModifiedBy>
  <cp:revision>11</cp:revision>
  <cp:lastPrinted>1601-01-01T00:00:00Z</cp:lastPrinted>
  <dcterms:created xsi:type="dcterms:W3CDTF">2021-10-23T06:59:00Z</dcterms:created>
  <dcterms:modified xsi:type="dcterms:W3CDTF">2021-10-23T08:55:00Z</dcterms:modified>
</cp:coreProperties>
</file>